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after="0" w:line="276" w:lineRule="auto"/>
        <w:rPr>
          <w:rFonts w:ascii="Times New Roman" w:hAnsi="Times New Roman" w:cs="Times New Roman"/>
          <w:b/>
          <w:sz w:val="28"/>
          <w:szCs w:val="40"/>
        </w:rPr>
        <w:suppressLineNumbers w:val="0"/>
      </w:pPr>
      <w:r>
        <w:rPr>
          <w:rFonts w:ascii="Times New Roman" w:hAnsi="Times New Roman" w:eastAsia="Times New Roman" w:cs="Times New Roman"/>
          <w:b/>
          <w:sz w:val="28"/>
          <w:szCs w:val="40"/>
        </w:rPr>
        <w:t xml:space="preserve">ПРАВИТЕЛЬСТВО</w:t>
      </w:r>
      <w:r>
        <w:rPr>
          <w:rFonts w:ascii="Times New Roman" w:hAnsi="Times New Roman" w:eastAsia="Times New Roman" w:cs="Times New Roman"/>
          <w:b/>
          <w:sz w:val="28"/>
          <w:szCs w:val="40"/>
        </w:rPr>
      </w:r>
      <w:r>
        <w:rPr>
          <w:rFonts w:ascii="Times New Roman" w:hAnsi="Times New Roman" w:eastAsia="Times New Roman" w:cs="Times New Roman"/>
          <w:b/>
          <w:sz w:val="28"/>
          <w:szCs w:val="40"/>
        </w:rPr>
      </w:r>
    </w:p>
    <w:p>
      <w:pPr>
        <w:jc w:val="center"/>
        <w:spacing w:after="240"/>
        <w:rPr>
          <w:rFonts w:ascii="Times New Roman" w:hAnsi="Times New Roman" w:cs="Times New Roman"/>
          <w:b/>
          <w:sz w:val="28"/>
          <w:szCs w:val="40"/>
        </w:rPr>
      </w:pPr>
      <w:r>
        <w:rPr>
          <w:rFonts w:ascii="Times New Roman" w:hAnsi="Times New Roman" w:eastAsia="Times New Roman" w:cs="Times New Roman"/>
          <w:b/>
          <w:sz w:val="28"/>
          <w:szCs w:val="40"/>
        </w:rPr>
        <w:t xml:space="preserve">ХАНТЫ-МАНСИЙСКОГО АВТОНОМНОГО ОКРУГА - ЮГРЫ</w:t>
      </w:r>
      <w:r>
        <w:rPr>
          <w:rFonts w:ascii="Times New Roman" w:hAnsi="Times New Roman" w:eastAsia="Times New Roman" w:cs="Times New Roman"/>
          <w:b/>
          <w:sz w:val="28"/>
          <w:szCs w:val="40"/>
        </w:rPr>
      </w:r>
      <w:r>
        <w:rPr>
          <w:rFonts w:ascii="Times New Roman" w:hAnsi="Times New Roman" w:eastAsia="Times New Roman" w:cs="Times New Roman"/>
          <w:b/>
          <w:sz w:val="28"/>
          <w:szCs w:val="40"/>
        </w:rPr>
      </w:r>
    </w:p>
    <w:p>
      <w:pPr>
        <w:jc w:val="center"/>
        <w:spacing w:after="240"/>
        <w:rPr>
          <w:b/>
          <w:sz w:val="28"/>
          <w:szCs w:val="40"/>
        </w:rPr>
      </w:pPr>
      <w:r>
        <w:rPr>
          <w:rFonts w:ascii="Times New Roman" w:hAnsi="Times New Roman" w:eastAsia="Times New Roman" w:cs="Times New Roman"/>
          <w:b/>
          <w:sz w:val="28"/>
          <w:szCs w:val="40"/>
        </w:rPr>
        <w:t xml:space="preserve">РАСПОРЯЖЕНИЕ</w:t>
      </w:r>
      <w:r>
        <w:rPr>
          <w:b/>
          <w:sz w:val="28"/>
          <w:szCs w:val="40"/>
        </w:rPr>
      </w:r>
      <w:r>
        <w:rPr>
          <w:b/>
          <w:sz w:val="28"/>
          <w:szCs w:val="40"/>
        </w:rPr>
      </w:r>
    </w:p>
    <w:p>
      <w:pPr>
        <w:pStyle w:val="688"/>
        <w:jc w:val="both"/>
        <w:spacing w:after="0" w:afterAutospacing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0" w:type="auto"/>
        <w:tblInd w:w="2235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273"/>
        <w:gridCol w:w="197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73" w:type="dxa"/>
            <w:vAlign w:val="top"/>
            <w:textDirection w:val="lrTb"/>
            <w:noWrap w:val="false"/>
          </w:tcPr>
          <w:p>
            <w:pPr>
              <w:pStyle w:val="68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октября 2024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971" w:type="dxa"/>
            <w:vAlign w:val="top"/>
            <w:textDirection w:val="lrTb"/>
            <w:noWrap w:val="false"/>
          </w:tcPr>
          <w:p>
            <w:pPr>
              <w:pStyle w:val="688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497-рп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68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О прогнозе социально-экономического развития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Ханты-Мансийского автономного округа – Югры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на 2025 год и на плановый период 2026 и 2027 годов</w:t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</w:r>
      <w:r>
        <w:rPr>
          <w:rFonts w:ascii="Times New Roman" w:hAnsi="Times New Roman" w:eastAsia="Times New Roman" w:cs="Times New Roman"/>
          <w:sz w:val="20"/>
          <w:szCs w:val="20"/>
          <w:lang w:eastAsia="zh-C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zh-CN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соответствии с Законом Ханты-Мансийского автономного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br/>
        <w:t xml:space="preserve">округа – Югры от 20 июля 2007 года № 99-оз «Об отдельных вопросах организации и осуществления бюджетного процесса в Ханты-Мансийском автономном окр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уге – Югре», постановлениями Правительства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br/>
        <w:t xml:space="preserve">Ханты-Мансийского автономного округа – Югры от 30 апреля 2014 года № 154-п «</w:t>
      </w:r>
      <w:r>
        <w:rPr>
          <w:rFonts w:ascii="Times New Roman" w:hAnsi="Times New Roman" w:eastAsia="Calibri" w:cs="Times New Roman"/>
          <w:sz w:val="28"/>
          <w:szCs w:val="28"/>
        </w:rPr>
        <w:t xml:space="preserve">О Порядке составления проекта закона о бюджете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Ханты-Мансийского автономного округа – Югры и проекта закона о бюджете территориального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фонда обязательного медицинского страхования Ханты-Мансийского автономного округа – Югры на очередной финансовый год и плановый период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», от 25 декабря 2015 года № 487-п «О порядке разработки, корректировки, утверждения (одобрения) и осуществления мониторин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га прогноза социально-экономического развития Ханты-Мансийского автономного округа – Югры на среднесрочный период и контроля его реализации и признании утратившим силу постановления Правительства Ханты-Мансийского автономного округа – Югры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br/>
        <w:t xml:space="preserve">от 20 декабря 2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007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№ 327-п «О Порядке разработки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прогн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оза социально-экономического развития Ханты-Мансийского автономного округа – Югры», учитывая решение Общественного совета при Департаменте экономического развития Ханты-Мансийского автономного округа – Югры (протокол заседания от 3 октября 2024 года № 30):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Одобрить прилагаемый прогноз социально-экономического развития Ханты-Мансийского автономного округа – Югры на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2025 год и на плановый период 2026 и 2027 годов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Губернатор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Ханты-Мансийского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автономного округа – Югры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    Р.Н.Кухарук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418" w:right="1276" w:bottom="538" w:left="1559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к распоряжению Правительства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Ханты-Мансийского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автономного округа – Югры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от 10 октября 2024 года № 497-рп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Ханты-Мансийского автономного округа – Югры на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2025 год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Прогноз социально-экономического развития Ханты-Мансийского автономного округа – Югры на 2025 год и на плановый период 2026 и 2027 годов (далее – прогноз, автономный округ, регион) разработан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 основе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прогноза социально-экономического развити</w:t>
      </w:r>
      <w:r>
        <w:rPr>
          <w:rFonts w:ascii="Times New Roman" w:hAnsi="Times New Roman" w:cs="Times New Roman"/>
          <w:sz w:val="28"/>
          <w:szCs w:val="28"/>
        </w:rPr>
        <w:t xml:space="preserve">я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на 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одобренного на заседании Правительства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br/>
        <w:t xml:space="preserve">24 сентября 2024 года (далее также – РФ), исходя из приоритетов и целевых индикаторов социально-эк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ономического развития, установленны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х в Стратегии социально-экономического развития автономного округа </w:t>
      </w:r>
      <w:r>
        <w:rPr>
          <w:rFonts w:ascii="Times New Roman" w:hAnsi="Times New Roman" w:cs="Times New Roman"/>
          <w:sz w:val="28"/>
          <w:szCs w:val="28"/>
          <w:lang w:eastAsia="zh-CN"/>
        </w:rPr>
        <w:br/>
        <w:t xml:space="preserve">до 2036 года с целевыми ориентирами до 2050 года, и задач, поставленных на </w:t>
      </w:r>
      <w:r>
        <w:rPr>
          <w:rFonts w:ascii="Times New Roman" w:hAnsi="Times New Roman" w:cs="Times New Roman"/>
          <w:sz w:val="28"/>
          <w:szCs w:val="28"/>
        </w:rPr>
        <w:t xml:space="preserve">достижение национальных целей развития и ключевых показателей, установленных Указом Президента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 от 7 мая 2024 года № 309 «О Национальных целях развития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период до 2030 года и на перспективу до 2036 года».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 Оценка достигнутого уровня социально-экономического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автономного округа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 w:line="240" w:lineRule="auto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По итогам 2023 года экономическую и социальную динамику развития автономного округа подтверждает оценка рейтингового агентства РИА Рейтинг – 3-е место по уровню бла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госостояния семей, 4-е место по социально-экономическому положению субъектов РФ; автономный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округ входит в группу лидирующих субъектов РФ по качеству жизни населения по итогам оценки АНО «Агентство стратегических инициатив по продвижению новых проектов» (4-я позиция)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contextualSpacing/>
        <w:ind w:firstLine="708"/>
        <w:jc w:val="both"/>
        <w:spacing w:after="0" w:line="240" w:lineRule="auto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Сформированная в автономном округе комплексная система правового и институциона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льного сопровождения и поддержки инвестиционной деятельности обеспечила региону 12-ю позицию среди субъектов РФ в Национальном рейтинге состояния инвестиционного климата 2023 года.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Социально-экономическое положение автономного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br/>
        <w:t xml:space="preserve">в 20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23,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2024 годах ха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рактеризуется основными макроэкономическими показателями, включенными в таблицу 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Таблица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Основные макроэкономические итоги развития автономного округа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(в процентах к соответствующему периоду предыдущего года)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41"/>
        <w:tblW w:w="9071" w:type="dxa"/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850"/>
        <w:gridCol w:w="850"/>
        <w:gridCol w:w="852"/>
        <w:gridCol w:w="850"/>
        <w:gridCol w:w="850"/>
        <w:gridCol w:w="850"/>
        <w:gridCol w:w="993"/>
      </w:tblGrid>
      <w:tr>
        <w:tblPrEx/>
        <w:trPr/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Показатель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2023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2024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январь-март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январь-июнь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январь-июль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январь-март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январь-июнь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январь-июль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год оценка</w:t>
            </w:r>
            <w:r>
              <w:rPr>
                <w:rFonts w:ascii="Times New Roman" w:hAnsi="Times New Roman" w:cs="Times New Roman"/>
                <w:vertAlign w:val="superscript"/>
                <w:lang w:eastAsia="zh-CN"/>
              </w:rPr>
              <w:t xml:space="preserve">1</w:t>
            </w:r>
            <w:r>
              <w:rPr>
                <w:rFonts w:ascii="Times New Roman" w:hAnsi="Times New Roman" w:cs="Times New Roman"/>
                <w:vertAlign w:val="superscript"/>
              </w:rPr>
            </w:r>
            <w:r>
              <w:rPr>
                <w:rFonts w:ascii="Times New Roman" w:hAnsi="Times New Roman" w:cs="Times New Roman"/>
                <w:vertAlign w:val="superscript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Индекс промышленного производства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98,5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96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96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 xml:space="preserve">Инвестиции в основной капитал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112,7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103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Реальные денежные доходы населения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110,7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х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107,6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112,0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107,7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х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104,6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Реальная заработная плата работников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107,4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109,5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109,1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112,3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106,2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107,3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Реальный размер дохода пенсионера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103,8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104,0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105,0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101,8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101,1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100,9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100,7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Индекс потребительских цен (к декабрю предыдущего года)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100,0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100,8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100,7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104,6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101,7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103,2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103,5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106,2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Оборот розничной торговли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99,1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106,8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109,4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109,5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109,6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Объем платных услуг населению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102,9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103,9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103,7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104,3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106,1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106,3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106,4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106,0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Уровень зарегистрированной безработицы (на конец периода)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0,38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0,33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0,30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0,31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0,28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0,22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0,20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0,28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для справки: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  <w:vertAlign w:val="superscript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Добыча нефти, млн тонн</w:t>
            </w:r>
            <w:r>
              <w:rPr>
                <w:rFonts w:ascii="Times New Roman" w:hAnsi="Times New Roman" w:cs="Times New Roman"/>
                <w:highlight w:val="white"/>
                <w:vertAlign w:val="superscript"/>
                <w:lang w:eastAsia="zh-CN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  <w:vertAlign w:val="superscript"/>
              </w:rPr>
            </w:r>
            <w:r>
              <w:rPr>
                <w:rFonts w:ascii="Times New Roman" w:hAnsi="Times New Roman" w:cs="Times New Roman"/>
                <w:highlight w:val="white"/>
                <w:vertAlign w:val="superscript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54,7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108,2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126,3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216,0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52,6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103,5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120,6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205,0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</w:tbl>
    <w:p>
      <w:pPr>
        <w:contextualSpacing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white"/>
          <w:lang w:eastAsia="zh-CN"/>
        </w:rPr>
        <w:t xml:space="preserve">Источник: </w:t>
      </w:r>
      <w:r>
        <w:rPr>
          <w:rFonts w:ascii="Times New Roman" w:hAnsi="Times New Roman" w:cs="Times New Roman"/>
          <w:sz w:val="24"/>
          <w:szCs w:val="24"/>
          <w:highlight w:val="white"/>
          <w:vertAlign w:val="superscript"/>
          <w:lang w:eastAsia="zh-CN"/>
        </w:rPr>
        <w:t xml:space="preserve">1, 2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</w:t>
      </w:r>
      <w:r>
        <w:rPr>
          <w:rFonts w:ascii="Times New Roman" w:hAnsi="Times New Roman" w:cs="Times New Roman"/>
          <w:highlight w:val="white"/>
          <w:lang w:eastAsia="zh-CN"/>
        </w:rPr>
        <w:t xml:space="preserve"> оценка Департамента экономического развития автоно</w:t>
      </w:r>
      <w:r>
        <w:rPr>
          <w:rFonts w:ascii="Times New Roman" w:hAnsi="Times New Roman" w:cs="Times New Roman"/>
          <w:lang w:eastAsia="zh-CN"/>
        </w:rPr>
        <w:t xml:space="preserve">много округа, Департамента недропользования и природных ресурсов автономного округа.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Макроэкономические индикаторы автономного округа за январь – июль 2024 года по отношению к январю-июлю 2023 года характ</w:t>
      </w:r>
      <w:r>
        <w:rPr>
          <w:rFonts w:ascii="Times New Roman" w:hAnsi="Times New Roman" w:cs="Times New Roman"/>
          <w:sz w:val="28"/>
          <w:szCs w:val="28"/>
        </w:rPr>
        <w:t xml:space="preserve">еризуются положительной динамикой инвестиций в основной капитал, розничной торговли, платных услуг, на рынке труда – ростом заработной платы, снижением уровня зарегистрированной безработицы.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обрабатывающей промышленности также наблюдается тенденция роста</w:t>
      </w:r>
      <w:r>
        <w:rPr>
          <w:rFonts w:ascii="Times New Roman" w:hAnsi="Times New Roman" w:cs="Times New Roman"/>
          <w:sz w:val="28"/>
          <w:szCs w:val="28"/>
        </w:rPr>
        <w:t xml:space="preserve"> объемов выпуска продукции (1,7 % к январю-июлю 2023 года) в основном за счет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производства нефтепродуктов, обра</w:t>
      </w:r>
      <w:r>
        <w:rPr>
          <w:rFonts w:ascii="Times New Roman" w:hAnsi="Times New Roman" w:cs="Times New Roman"/>
          <w:sz w:val="28"/>
          <w:szCs w:val="28"/>
        </w:rPr>
        <w:t xml:space="preserve">ботки древесины, производства машин и оборудования (на 2,2 %, 8,8 % и 19,8 % соответственно).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января-июня 2024 года предприятиями и орг</w:t>
      </w:r>
      <w:r>
        <w:rPr>
          <w:rFonts w:ascii="Times New Roman" w:hAnsi="Times New Roman" w:cs="Times New Roman"/>
          <w:sz w:val="28"/>
          <w:szCs w:val="28"/>
        </w:rPr>
        <w:t xml:space="preserve">анизациями всех форм собственности инвестировано в реальный сектор экономики автономного округа 799,5 млрд рублей, что в сопоставимых ценах выше соответствующего периода 2023 года на 7 %.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доля капитальных вложений традиционно направлена на добычу </w:t>
      </w:r>
      <w:r>
        <w:rPr>
          <w:rFonts w:ascii="Times New Roman" w:hAnsi="Times New Roman" w:cs="Times New Roman"/>
          <w:sz w:val="28"/>
          <w:szCs w:val="28"/>
        </w:rPr>
        <w:t xml:space="preserve">нефти и газа, предоставление услуг в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добычи (87,8 %), </w:t>
      </w:r>
      <w:r>
        <w:rPr>
          <w:rFonts w:ascii="Times New Roman" w:hAnsi="Times New Roman" w:cs="Times New Roman"/>
          <w:sz w:val="28"/>
          <w:szCs w:val="28"/>
        </w:rPr>
        <w:t xml:space="preserve">транспорт, в основном трубопроводный (3,8 %), а также в обрабатывающую промышленность и электроэнергетику – по 2%.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Ожидаемый объем инвестиций к концу 2024 года увеличится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до 1697,7 млрд рублей </w:t>
      </w:r>
      <w:r>
        <w:rPr>
          <w:rFonts w:ascii="Times New Roman" w:hAnsi="Times New Roman" w:cs="Times New Roman"/>
          <w:sz w:val="28"/>
          <w:szCs w:val="28"/>
        </w:rPr>
        <w:t xml:space="preserve">или 3,1 % в сопоставимых ценах к уровню 2023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98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есмотря на сохраняющиеся внешние ограничения, ужесточение кредитно-денежной политики, предприятия региона продолжают развивать производства, перестраивают логистику и рынки сбыта, сохраняют высокую инвест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иционную активность, реализуя инвестиционные проекты. </w:t>
      </w:r>
      <w:r/>
    </w:p>
    <w:p>
      <w:pPr>
        <w:contextualSpacing/>
        <w:ind w:firstLine="720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2024 году факторы, связанные с ограничением объемов добычи углеводородного сырья, продолжают действовать</w:t>
      </w:r>
      <w:r>
        <w:rPr>
          <w:rFonts w:ascii="Times New Roman" w:hAnsi="Times New Roman" w:cs="Times New Roman"/>
          <w:color w:val="0070c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(добровольные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обязательства Российской Федерации по сокращению объемов добычи нефти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на 500 тыс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 баррелей в сутки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98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Style w:val="896"/>
          <w:rFonts w:ascii="Times New Roman" w:hAnsi="Times New Roman" w:cs="Times New Roman"/>
          <w:sz w:val="28"/>
          <w:szCs w:val="28"/>
          <w:highlight w:val="white"/>
        </w:rPr>
        <w:t xml:space="preserve">Как следствие, валовой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региональный продукт (далее также – ВРП) в реальном выражении, учитывая, что добыча полезных ископаемых в структуре ВРП занимает порядка 75 %, в 2024 году сократится на 2,8 %.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Стабильная ситуация на рынке труда,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рост реальных доходов </w:t>
      </w:r>
      <w:r>
        <w:rPr>
          <w:rFonts w:ascii="Times New Roman" w:hAnsi="Times New Roman" w:cs="Times New Roman"/>
          <w:sz w:val="28"/>
          <w:szCs w:val="28"/>
        </w:rPr>
        <w:t xml:space="preserve">и низкий уровень безработицы населения положительно сказываются на восстановлении потребительской активности.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Оборот розничной торговли за 7 месяцев 2024 года вырос в реальном выражении на 9,6 % к соответствующему периоду 2023 года за счет роста потребительског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спроса, обеспеченном в основном ростом доходов населения. По итогам 2024 года прирост товарооборота оце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нивается на уровне 8 %.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Прирост объема рынка платных услуг в целом остается сдержанным. Так за 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2024 года увеличение в сопоставимых ценах составило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6,4 %, что связано с заметным ростом цен на предоставляемые населению услуги. К концу 2024 года об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ъемы предоставления платных услуг населению увеличатся до 106 % к 2023 году.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Среднегодовая численность населения автономного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2024 году увеличится на</w:t>
      </w:r>
      <w:r>
        <w:rPr>
          <w:rFonts w:ascii="Times New Roman" w:hAnsi="Times New Roman" w:cs="Times New Roman"/>
          <w:sz w:val="28"/>
          <w:szCs w:val="28"/>
        </w:rPr>
        <w:t xml:space="preserve"> 0,1 % относительно 2023 года и составит 1767,0 тыс. человек, естественный прирост ожидается на уровне 3,8 человека на 1000 человек населения.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зарегистрированной безработицы в автономном округе </w:t>
      </w:r>
      <w:r>
        <w:rPr>
          <w:rFonts w:ascii="Times New Roman" w:hAnsi="Times New Roman" w:cs="Times New Roman"/>
          <w:sz w:val="28"/>
          <w:szCs w:val="28"/>
        </w:rPr>
        <w:br/>
        <w:t xml:space="preserve">на 1 августа 2024 года составил 0,20 % (на 1 августа</w:t>
      </w:r>
      <w:r>
        <w:rPr>
          <w:rFonts w:ascii="Times New Roman" w:hAnsi="Times New Roman" w:cs="Times New Roman"/>
          <w:sz w:val="28"/>
          <w:szCs w:val="28"/>
        </w:rPr>
        <w:t xml:space="preserve"> 2023 года – 0,30 %). В текущем году ожидаемый уровень зарегистрированной безработицы планируется на уровне 0,28 %.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занятых в экономике (с учетом занятых индивидуальным трудом и в домашнем хозяйстве, работающих вахтовым </w:t>
      </w:r>
      <w:r>
        <w:rPr>
          <w:rFonts w:ascii="Times New Roman" w:hAnsi="Times New Roman" w:cs="Times New Roman"/>
          <w:sz w:val="28"/>
          <w:szCs w:val="28"/>
        </w:rPr>
        <w:t xml:space="preserve">методом и проживающих з</w:t>
      </w:r>
      <w:r>
        <w:rPr>
          <w:rFonts w:ascii="Times New Roman" w:hAnsi="Times New Roman" w:cs="Times New Roman"/>
          <w:sz w:val="28"/>
          <w:szCs w:val="28"/>
        </w:rPr>
        <w:t xml:space="preserve">а пределами округа) в 2024 году оценивается в количестве 1116,1 тыс. человек или 101,3 % к уровню 2023 года.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планов ведущих нефтегазовых компаний региона по повышению оплаты труда в течение 2024 года к концу года ожидаемый прирост среднемесячной </w:t>
      </w:r>
      <w:r>
        <w:rPr>
          <w:rFonts w:ascii="Times New Roman" w:hAnsi="Times New Roman" w:cs="Times New Roman"/>
          <w:sz w:val="28"/>
          <w:szCs w:val="28"/>
        </w:rPr>
        <w:t xml:space="preserve">заработной платы составит 14,9 % к уровню </w:t>
      </w:r>
      <w:r>
        <w:rPr>
          <w:rFonts w:ascii="Times New Roman" w:hAnsi="Times New Roman" w:cs="Times New Roman"/>
          <w:sz w:val="28"/>
          <w:szCs w:val="28"/>
        </w:rPr>
        <w:br/>
        <w:t xml:space="preserve">2023 года.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Среднедушевой размер величины прожиточного минимума </w:t>
      </w:r>
      <w:r>
        <w:rPr>
          <w:rFonts w:ascii="Times New Roman" w:hAnsi="Times New Roman" w:cs="Times New Roman"/>
          <w:sz w:val="28"/>
          <w:szCs w:val="28"/>
        </w:rPr>
        <w:br/>
        <w:t xml:space="preserve">в автономном округе в 2024 году установлен в размере 20435 рублей, что </w:t>
      </w:r>
      <w:r>
        <w:rPr>
          <w:rFonts w:ascii="Times New Roman" w:hAnsi="Times New Roman" w:cs="Times New Roman"/>
          <w:sz w:val="28"/>
          <w:szCs w:val="28"/>
        </w:rPr>
        <w:br/>
        <w:t xml:space="preserve">на 4 % выше 2023 года. С учетом федеральных и окружных мер социальной поддерж</w:t>
      </w:r>
      <w:r>
        <w:rPr>
          <w:rFonts w:ascii="Times New Roman" w:hAnsi="Times New Roman" w:cs="Times New Roman"/>
          <w:sz w:val="28"/>
          <w:szCs w:val="28"/>
        </w:rPr>
        <w:t xml:space="preserve">ки граждан, а также стабилизацией сфер экономики, численность населения с денежными доходами ниже величины границы бедности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в 2024 году сложится на уровне 6,3 % (в 2023 году – 6,5 %).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 xml:space="preserve">II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.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автономного окру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Общая характеристика прогноза социально-экономического развития автономного округа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целях формирования бюджета автономного округа в соответствии с порядком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разработки, корректировки, утверждения (одобрения) и осуществления мониторинга прогноза соци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ально-экономического развития автономного округа на среднесрочный период и контроля его реализации, утвержденным постановлением Правительства автономного округа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от 25 декабря 2015 года № 487-п,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прогноз разработан в двух вариантах: базовом и консервативном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94"/>
        <w:contextualSpacing/>
        <w:ind w:firstLine="709"/>
        <w:spacing w:line="240" w:lineRule="auto"/>
        <w:widowControl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Базовый вариант прогноза описывает наиболее вероятный сценарий развития экономики автономного округа с учетом: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pStyle w:val="894"/>
        <w:contextualSpacing/>
        <w:ind w:firstLine="709"/>
        <w:spacing w:line="240" w:lineRule="auto"/>
        <w:widowControl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ожидаемых потерь ряда экспортных сырьевых рынков и ограниченных возможностей переориентации поставок продукции региона;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pStyle w:val="894"/>
        <w:contextualSpacing/>
        <w:ind w:firstLine="709"/>
        <w:spacing w:line="240" w:lineRule="auto"/>
        <w:widowControl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роста внутреннего спрос</w:t>
      </w:r>
      <w:r>
        <w:rPr>
          <w:color w:val="auto"/>
          <w:sz w:val="28"/>
          <w:szCs w:val="28"/>
          <w:highlight w:val="white"/>
        </w:rPr>
        <w:t xml:space="preserve">а, как потребительского, так и инвестиционного.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pStyle w:val="894"/>
        <w:contextualSpacing/>
        <w:ind w:firstLine="709"/>
        <w:spacing w:line="240" w:lineRule="auto"/>
        <w:widowControl/>
        <w:rPr>
          <w:color w:val="auto"/>
        </w:rPr>
      </w:pPr>
      <w:r>
        <w:rPr>
          <w:color w:val="auto"/>
          <w:sz w:val="28"/>
          <w:szCs w:val="28"/>
          <w:highlight w:val="white"/>
        </w:rPr>
        <w:t xml:space="preserve">Консервативный вариант прогноза с учетом положений базового варианта прогноза основан на замедлении динамики мировой экономики, ужесточении режима санкций, в том числе в топливно-энергетическом сегменте, что </w:t>
      </w:r>
      <w:r>
        <w:rPr>
          <w:color w:val="auto"/>
          <w:sz w:val="28"/>
          <w:szCs w:val="28"/>
          <w:highlight w:val="white"/>
        </w:rPr>
        <w:t xml:space="preserve">может привести </w:t>
      </w:r>
      <w:r>
        <w:rPr>
          <w:color w:val="auto"/>
          <w:sz w:val="28"/>
          <w:szCs w:val="28"/>
        </w:rPr>
        <w:t xml:space="preserve">к бюджетным рискам, прежде всего, в части нефтегазовых доходов бюджета региона.</w:t>
      </w:r>
      <w:r>
        <w:rPr>
          <w:color w:val="auto"/>
        </w:rPr>
      </w:r>
      <w:r>
        <w:rPr>
          <w:color w:val="auto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прогнозе учтены: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высокий уровень мировых цен на нефть, снижение объемов добычи нефти по сравнению с уровнем, прогнозируемым в начале </w:t>
      </w:r>
      <w:r>
        <w:rPr>
          <w:rFonts w:ascii="Times New Roman" w:hAnsi="Times New Roman" w:cs="Times New Roman"/>
          <w:sz w:val="28"/>
          <w:szCs w:val="28"/>
        </w:rPr>
        <w:br/>
        <w:t xml:space="preserve">2023 года;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низкого уровня безработицы, рост реальных доходов населения и реальной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заработной платы работников;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ускоренный рост инвестиционной активности.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Как следствие, ВРП в 2027 году увеличится на 4,3 % в сопоставимых ценах к уровню 2024 года.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Исходные условия для формирования вариантов социально-экономического развития автономного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Style w:val="741"/>
        <w:tblW w:w="9271" w:type="dxa"/>
        <w:tblLook w:val="04A0" w:firstRow="1" w:lastRow="0" w:firstColumn="1" w:lastColumn="0" w:noHBand="0" w:noVBand="1"/>
      </w:tblPr>
      <w:tblGrid>
        <w:gridCol w:w="3794"/>
        <w:gridCol w:w="1037"/>
        <w:gridCol w:w="1038"/>
        <w:gridCol w:w="1134"/>
        <w:gridCol w:w="1134"/>
        <w:gridCol w:w="1134"/>
      </w:tblGrid>
      <w:tr>
        <w:tblPrEx/>
        <w:trPr/>
        <w:tc>
          <w:tcPr>
            <w:tcW w:w="379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Показатели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2023 отчет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2024 оценка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gridSpan w:val="3"/>
            <w:tcW w:w="340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прогноз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W w:w="379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Внешние и сопряженные с ними условия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Экспортная цена на российскую нефть, долл. США/барр.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64,5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70,0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69,7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66,0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65,5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65,5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62,5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60,5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Добыча нефти, млн тонн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216,0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zh-CN"/>
              </w:rPr>
              <w:t xml:space="preserve">205,0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212,0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210,0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210,0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208,0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206,0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205,0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gridSpan w:val="6"/>
            <w:tcW w:w="9271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Курс доллара (среднегодовой), рублей за доллар США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379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84,7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91,2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96,5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100,0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103,2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379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95,2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98,3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104,2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Внутренние условия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Валовой региональный продукт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, %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,4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Индекс промышленного производства, %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98,5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96,3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99,7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100,3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99,6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99,9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Инвестиции в основной капитал, %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107,5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100,1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100,2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100,2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Реальные денежные доходы населения, %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107,6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04"/>
        </w:trPr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Реальная заработная плата работников организаций, %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108,4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107,3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100,9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Индекс потребительских цен на конец года, в процентах к декабрю предыдущего года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106,2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105,4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Оборот розничной торговли, %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109,4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108,0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101,8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W w:w="9271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Объем платных услуг населению, %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базовый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106,0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104,0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7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3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03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103,0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102,8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базовый вариант прогноза исходит из благоприятных тенденций роста и восстановления сбалансированности экономики при безусловном выполнении принятых и принимаемых бюджетных обязательств, предлагается использовать его д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ля разработки </w:t>
      </w:r>
      <w:r>
        <w:rPr>
          <w:rFonts w:ascii="Times New Roman" w:hAnsi="Times New Roman" w:cs="Times New Roman"/>
          <w:sz w:val="28"/>
          <w:szCs w:val="28"/>
        </w:rPr>
        <w:t xml:space="preserve">проекта зак</w:t>
      </w:r>
      <w:r>
        <w:rPr>
          <w:rFonts w:ascii="Times New Roman" w:hAnsi="Times New Roman" w:cs="Times New Roman"/>
          <w:sz w:val="28"/>
          <w:szCs w:val="28"/>
        </w:rPr>
        <w:t xml:space="preserve">она о бюджете автономного окру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 Производство валового регионального продукта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 оценке Департамента экономического развития автономного округа,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ВРП в 2023 году составил 8671,5 млрд рублей, с сохранением лидирующих позиций региона в РФ по объему ВРП на душу населения. На фоне снижения объемов добычи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ефти, с учетом решения на федеральном уровне о добровольном ее сокращении, индекс физического объем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ВРП в 2024 году составит 97,2 %.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Рост номинального ВРП в 2025 – 2027 годы по базовому варианту прогнозируется на уровне 5,2 % в год, реального на 1,4 %.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Динамика ВРП в среднесрочном периоде спрогнози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рована с учетом: объемов производства добычи нефти, про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изводства электроэнергии, темпов производства на нефтеперерабатывающих и газоперерабатывающих заводах, и развития иных отраслей экономики.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На увеличение ВРП с 2025 по 2027 год в регионе по базовому варианту относительно 2024 года окажут влияние отрасли, об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еспечивающие инвестиционную модель развития: обрабатывающая промышленность, сфера информационных технологий, строитель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и транспортный комплексы, отрасли социальной сферы, в том числе определяющие повышение качества человеческого капитала, такие как обра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зование и здравоохранение.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Фактором роста ВРП станет также потребительский спрос: розничная торговля и платные услуги населению.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Промышленное производство</w:t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Предприятиями автономного округа за 2023 год произведено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7,9 % об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щего объема промышленной проду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кции в РФ. Структура промышленного производства по итогам 2023 года: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добыча полезных ископаемых – 85,3 %;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обрабатывающие производства – 11,4 %;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электроэнергией, газом и паром; кондиционирование воздуха – 2,9 %;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водоснабжение, водоотведение,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 сбора и утилизации отходов, деятельность по ликвидации загрязнений – 0,4 %.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2023 года на территории автономного округа добыто 216 млн тонн нефти, или 96,8 % к уровню 2022 года.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2024 году запланированы объемы геологоразведочных рабо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поисково-разведочным бурением – 386314 м;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сейсморазведочные работы 2Д – 2700 км, в том числе 1600 км за счет средств федерального бюджета;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сейсморазведочные работы 3Д – 1202 кв. км.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Ключевая цель в обрабатывающей промышленности на период до 2027 года – создание новых производств и повышение конкурентоспособности действующих производств. Особый акцент направлен на внедрение в базовые отрасли промышленности передовых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производственных 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хнологий (автоматизация и цифровизация процессов, применение бережливых технологий).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рамках реализации на территории автономного округа национального проекта «Производительность труда» 59 предприятий приступили к внедрению в свое производство бережливых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технологий.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ourier New" w:cs="Times New Roman"/>
          <w:sz w:val="28"/>
          <w:szCs w:val="28"/>
          <w:lang w:eastAsia="ru-RU"/>
        </w:rPr>
        <w:t xml:space="preserve">В разной степени готовности находятся 14 индустриальных (промышленных) парков и промышленных технопарков в 10 муниципальных образованиях автономного округа: городских округах Сургут, Когалым, Нефтеюганск, Пыть-Ях, Нижневартовск, Ханты-Мансийск</w:t>
      </w:r>
      <w:r>
        <w:rPr>
          <w:rFonts w:ascii="Times New Roman" w:hAnsi="Times New Roman" w:eastAsia="Courier New" w:cs="Times New Roman"/>
          <w:sz w:val="28"/>
          <w:szCs w:val="28"/>
          <w:lang w:eastAsia="ru-RU"/>
        </w:rPr>
        <w:t xml:space="preserve">, Нягань; Сургутском, Кондинском и Нефтеюганском муниципальных районах.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На указанных площадках размещено 136 резидентов, деятельность которых нацелена на развитие в регионе нефтесервисных услуг, лесоперерабатывающей промышленности, производства строительны</w:t>
      </w:r>
      <w:r>
        <w:rPr>
          <w:rFonts w:ascii="Times New Roman" w:hAnsi="Times New Roman" w:cs="Times New Roman"/>
          <w:sz w:val="28"/>
          <w:szCs w:val="28"/>
        </w:rPr>
        <w:t xml:space="preserve">х материалов и оборудования. Организовано 1228 рабочих мест.</w:t>
      </w:r>
      <w:r/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автономном округе создана особая экономическая зона промышленно-производственного типа в горо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де Нягани, направленная на повышение инвестиционной привлекательности территории, рост объемов инвестиций в экономику региона, создание новых 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бочих мест, увеличение налоговых поступлений в бюджеты всех уровней, развитие импортозамещения.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Правительством 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втономного округа оказывается поддержка предприятий, нацеленных на локализацию или модернизацию своего производс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тва в регионе. Это и налоговые льготы, предоставление земельных участков без торгов, льготные займы Фонда развития автономного округа, компенсац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ия процентной ставки по кредитам, которые получены на пополнение оборотных средств, приобретение оборудования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и спецтехники, производство строительно-монтажных работ и др.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поддержке автономного округа с участием муниципальных образований автономного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круга осуществляется реализация инвестиционных проектов по с</w:t>
      </w:r>
      <w:r>
        <w:rPr>
          <w:rFonts w:ascii="Times New Roman" w:hAnsi="Times New Roman" w:cs="Times New Roman"/>
          <w:sz w:val="28"/>
          <w:szCs w:val="28"/>
        </w:rPr>
        <w:t xml:space="preserve">озданию:</w:t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енного комплекса по выпуску фасонного проката мощностью 100 тыс. тонн в год, объем инвестиций 3,0 млрд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производства отечественных белковых компонентов – основы сухих мо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лочных продуктов для питания новорожденных и детей до шести месяцев, объем инвестиций 1,1 млрд рублей.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Энергетический сектор автономного округа генерирует стабильный платежеспособный спрос на новые технологии и материалы. Этот ресурс направлен на развитие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отечественной промышленности и инновационной сферы.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Бол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ьшая часть вырабатываемой электроэнергии на территории региона производится на тепловых электростанциях: Сургутская ГРЭС-1, Сургутская ГРЭС-2, Нижневартовская ГРЭС и Няганская ГРЭС; на них приходится 85 % выработанной электроэнергии на территории региона.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Кроме того, на территории автономного округа размещено большое количество автономных источников электроснабжения, обеспечивающих электроэнергией промышленные предприятия и территориально-изолированные энергосистемы муниципальных образований автономного 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руга.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Несмотря на устойчивый рост электропотребления в последние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br/>
        <w:t xml:space="preserve">15 лет, генерирующие мощности региона с большим запасом перекрывают собственные потребности региона.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сведениям АО «Системный оператор единой энергетической системы»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прогнозируется увеличе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ние индекса выработки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электроэнергии в 2027 году по отношению к 2023 году до 1,2 %.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Инвестиции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Объем инвестиций в основной капитал по полному кругу предприятий за счет всех источников финансирования по итогам 2023 года составил 1552,8 млрд рублей, индекс физического объема 107,5 % к уровню 2022 года.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автономном округе начата реализация проектов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о: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созданию и развитие промышленного технопарка на территории города Сургута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(ООО УК «Промышленный технопарк СИРИУС Б»)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созданию племенного репродуктора II порядка по производству инкубационного яйца птицы (ООО «Агропродукт»);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созданию новой производствен</w:t>
      </w:r>
      <w:r>
        <w:rPr>
          <w:rFonts w:ascii="Times New Roman" w:hAnsi="Times New Roman" w:eastAsia="Times New Roman" w:cs="Times New Roman"/>
          <w:color w:val="000000"/>
          <w:sz w:val="28"/>
          <w:highlight w:val="white"/>
        </w:rPr>
        <w:t xml:space="preserve">ной линии по нанесению антикоррозионного покрытия на насосно-компрессорные трубы для нефтегазовой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промышленности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ООО «Мэйджерпак Югра»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</w:t>
      </w:r>
      <w:r>
        <w:rPr>
          <w:rFonts w:ascii="Times New Roman" w:hAnsi="Times New Roman" w:cs="Times New Roman"/>
        </w:rPr>
        <w:t xml:space="preserve">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строительству промышленной инфраструктуры для нефтегазодобывающих предприятий автономного округа (резидент Арктической</w:t>
      </w:r>
      <w:r>
        <w:rPr>
          <w:rFonts w:ascii="Times New Roman" w:hAnsi="Times New Roman" w:cs="Times New Roman"/>
          <w:sz w:val="28"/>
          <w:szCs w:val="28"/>
        </w:rPr>
        <w:t xml:space="preserve"> зоны Российской Федерации ООО «Белоярскнефтесервис»).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Запущено производство первых партий полимерных центраторов на базе индустриального парка в городе Когалыме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ООО «МАКСИМА Дриллинг Когалым»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Продолжается реализация следующих проектов: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инновац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ионного научно-технологического центра «ЮНИТИ ПАРК»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модернизация генерирующих объектов от тепловых электростанций (Сургутская ГРЭС-1, Сургутская ГРЭС-2, Нижневартовская ГРЭС);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строительство мостового перехода через р. Обь в районе города Сургута;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развитие жилищной и социальной инфраструктуры Научно-технологического центра в городе Сургуте (ООО «Самолет-Регионы»);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развитие особой экономической зоны промышленно-производственного типа «Нягань»;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создание системы по добыче и переработке водных биологиче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ских ресурсов на территории западной части автономного округа на базе опорного рыбоперерабатывающего предприятия в городе Ханты-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Мансийске.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механизма государственно-частного партнерства в автономном округе реализуется 48 проектов с общим об</w:t>
      </w:r>
      <w:r>
        <w:rPr>
          <w:rFonts w:ascii="Times New Roman" w:hAnsi="Times New Roman" w:cs="Times New Roman"/>
          <w:sz w:val="28"/>
          <w:szCs w:val="28"/>
        </w:rPr>
        <w:t xml:space="preserve">ъемом инвестиций более 66,8 млрд рублей, в том числе: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47 концессионных соглашений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сферах жилищно-коммунального хозяйства и городской среды, образования, экологии, физической культуры и спорта, транспортной инфраструктуры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 этом наибольшее количество концессионных соглашений – 19, реализуется в сфере жилищно-коммунального хозяйства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общим объемом 18,7 млрд рублей, из них частных инвестиций 16,2 млрд рублей. </w:t>
      </w:r>
      <w:r>
        <w:rPr>
          <w:rFonts w:ascii="Times New Roman" w:hAnsi="Times New Roman" w:cs="Times New Roman"/>
          <w:sz w:val="28"/>
          <w:szCs w:val="28"/>
        </w:rPr>
        <w:t xml:space="preserve">На 2025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2027 годы действующими инвестиционными программами и концессионными соглашениями предусмотрены мероприятия по модернизации коммунальной инфраструктуры на 4,5 млрд рублей </w:t>
      </w:r>
      <w:r>
        <w:rPr>
          <w:rFonts w:ascii="Times New Roman" w:hAnsi="Times New Roman" w:cs="Times New Roman"/>
          <w:sz w:val="28"/>
          <w:szCs w:val="28"/>
        </w:rPr>
        <w:t xml:space="preserve">(наиболее крупные проекты – в городских округах Нижневартовск, Когалым, Покачи, Лангепас, Сургут, Урай, Ханты-Мансийск, Радужный).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Правительством автономном округа принимаются меры, направленные на увеличение инвестиций в основной капитал, в том числе: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сфо</w:t>
      </w:r>
      <w:r>
        <w:rPr>
          <w:rFonts w:ascii="Times New Roman" w:hAnsi="Times New Roman" w:cs="Times New Roman"/>
          <w:sz w:val="28"/>
          <w:szCs w:val="28"/>
        </w:rPr>
        <w:t xml:space="preserve">рмирован механизм возмещения затрат на инфраструктуру при реализации инвестиционного проекта в соответствии с соглашением о защите и поощрении капиталовложений;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предусмотрены налоговые преференции для резидентов особой экономической зоны и Арктической зон</w:t>
      </w:r>
      <w:r>
        <w:rPr>
          <w:rFonts w:ascii="Times New Roman" w:hAnsi="Times New Roman" w:cs="Times New Roman"/>
          <w:sz w:val="28"/>
          <w:szCs w:val="28"/>
        </w:rPr>
        <w:t xml:space="preserve">ы Российской Федерации;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 механизм оценки инвестиционных проектов, для реализации которых предоставляются государственные гарантии автономного округа на конкурсной основе или без проведения конкурса;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проектного режима «промышленный о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фсет», предусматривающего взаимовыгодные условия для его участников: заказчик получает льготу по налогу на имущество (не более 5 %), поставщик – долгосрочный контракт с резидентом промышленного парка (обязательное условие – выручка поставщика по контракту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с резидентом должна в 15 раз превысить налоговую льготу по налогу на имущество организации)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предоставление права применения инвестиционного налогового вычета организациям по налогу на прибыль организаций, осуществляющим деятельность в приоритетных отрасля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х экономики;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освобождение от уплаты налога в отношении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недвижимого имущества, созданного в процессе реализации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инвестиционного проекта, в течение 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5 лет с даты ввода объекта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недвижимого имущества в эксплуатацию организаций, реализующих инвестиционные проекты, а также инвестиционные проекты на основании соглашения о защите и поощрении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капиталовложений,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освобождение от уплаты налога на имущество (налоговая льгота применяется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срок действия соглашения, но не более 5 лет)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заключивших концессионные соглашения, соглашения о государственно-частном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(муниципально-частном) партнерстве в отношении создания на территории автономного округа объектов образования, здравоохране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ния, культуры, спорта и социального обслуживания населения</w:t>
      </w:r>
      <w:r>
        <w:rPr>
          <w:rFonts w:ascii="Times New Roman" w:hAnsi="Times New Roman" w:cs="Times New Roman"/>
        </w:rPr>
        <w:t xml:space="preserve">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юридическим лицам предоставляются в аренду без проведения торгов земельные участки для размещения объектов социально-культурного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/>
        <w:t xml:space="preserve">и коммунально-бытового назначения;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реализуется широкий перечень 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 поддержки субъектам инвестиционной и предпринимательской деятельности, предоставляемых институтами развития автономного округа.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 2024 году введены дополнительные меры финансовой поддержки субъектов малого и среднего предпринимательства: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осуществляющих или планирующих осуществлять инновационную деятельность – «Инновационный сертификат»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создавших дополнительные рабочие места – по компенсации затрат работодателя на оплату единого страхового взноса («Страховой кешбэк»);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реализующих товары (р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аботы), услуги на маркетплейсах – «Кешбэк на маркетплейсы».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2"/>
        <w:jc w:val="center"/>
        <w:widowControl w:val="off"/>
        <w:rPr>
          <w:strike/>
          <w:color w:val="000000" w:themeColor="text1"/>
          <w:sz w:val="28"/>
          <w:szCs w:val="28"/>
          <w:highlight w:val="white"/>
        </w:rPr>
      </w:pPr>
      <w:r>
        <w:rPr>
          <w:strike/>
          <w:color w:val="000000" w:themeColor="text1"/>
          <w:sz w:val="28"/>
          <w:szCs w:val="28"/>
          <w:highlight w:val="white"/>
        </w:rPr>
      </w:r>
      <w:r>
        <w:rPr>
          <w:strike/>
          <w:color w:val="000000" w:themeColor="text1"/>
          <w:sz w:val="28"/>
          <w:szCs w:val="28"/>
          <w:highlight w:val="white"/>
        </w:rPr>
      </w:r>
      <w:r>
        <w:rPr>
          <w:strike/>
          <w:color w:val="000000" w:themeColor="text1"/>
          <w:sz w:val="28"/>
          <w:szCs w:val="28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Строительство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Основной инструмент достижения целей в прогнозном периоде – государственная про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грамма автономного округа «Строительство», утвержденная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постановлением Правительства автономного 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руга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  <w:t xml:space="preserve">от 10 ноября 2023 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ода № 561-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п, в результате реализации которой: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общий объем ввода жилья, включая наемные дома за 2025 – 2027 годы составит – 3180 тыс. кв. м;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семей, улучшивших жилищные условия за 2025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2027 годы – 202,7 тыс. семей.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В автономном округе начата реализация проектов по комплексному развитию территорий: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определены </w:t>
      </w:r>
      <w:r>
        <w:rPr>
          <w:rFonts w:ascii="Times New Roman" w:hAnsi="Times New Roman" w:eastAsia="Times New Roman" w:cs="Times New Roman"/>
          <w:sz w:val="28"/>
        </w:rPr>
        <w:t xml:space="preserve">35 территорий под комплексное развитие общей площадью земельных участков 336,34 га, с градостроительным потенциалом жилой площади – 1,8 млн кв. м, приняты решени</w:t>
      </w:r>
      <w:r>
        <w:rPr>
          <w:rFonts w:ascii="Times New Roman" w:hAnsi="Times New Roman" w:eastAsia="Times New Roman" w:cs="Times New Roman"/>
          <w:sz w:val="28"/>
        </w:rPr>
        <w:t xml:space="preserve">я о комплексном развитии 14 территорий, заключено 9 договоров о комплексном развитии в городских округах Сургут, Мегион, Нижневартовск, Нягань, Ханты-Мансийск, Югорск и городском поселении Пойковский Нефтеюганского муниципального района.</w:t>
      </w:r>
      <w:r/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прогнозном перио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де с целью стимулирования жилищного строительства предусмотрена реализация механизмов государственной поддержки посредством предоставления субсидии из бюджета автономного округа бюджетам муниципальных образований автономного округа на: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приобретение жилья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переселения граждан из жилых домов, признанных аварийными, для обеспечения жильем граждан, состоящих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учете для его получения на условиях социального найма, формирования маневренного жилищного фонда, переселения граждан из жилых домов, находящих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 в зонах затопления, подтопления, создание наемных домов социального использования;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освобождение земельн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льства;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строительство (реконструкцию) систем инженерной инфраструктуры в целях обеспечения инженерной подготовки земельных участков для жилищного строительства.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6. Малое и среднее предпринимательство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Поддержка и развитие малого и среднего предприниматель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zh-CN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(далее – МСП) является одним из приоритетов государственной политики.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Согласно Единому реестру субъектов МСП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(https://rmsp.nalog.ru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в автономном округе в 2023 году количество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редприятий – субъектов МСП снизилось на 625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(с 18348 до 17723).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За тот же период ко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zh-CN"/>
        </w:rPr>
        <w:t xml:space="preserve">личество индивидуальных предпринимателей увеличилось на 3094 (с 41367 до 44461), а количество граждан, являющихся плательщиками налога на профессиональных доход (далее – самозанятые), на 23571 человека (с 52921 до 76492).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Основной причин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ой такой тенденции являются простота оформления и ведения бизнеса в качестве индивидуального предпринимателя и самозанятого, а также более привлекательные условия применения специальных налоговых режимов: упрощенной системы налогообложения и налога на проф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ессиональный доход.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Расчет прогнозных значений показателей, характеризующих развитие сектора МСП, произведен с учетом новых задач развития, направленных на «выращивание компаний», посредством: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увеличения дохода в расчете на 1 работника субъекта МСП;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увелич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ения доли микропредприятий, переходящих в категорию малого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бизнеса;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увеличения доли субъектов МСП, относящихся к категории «средние», в общем количестве субъектов МСП;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увеличения «продолжительности жизни» вновь созданных субъектов МСП.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Обновленные с 2025 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ода меры поддержки субъектов МСП в рамках национального проекта «Малое и среднее предпринимательство и поддержка индивидуальной предпринимательской инициативы» будут направлены не на рост количества предприятий, а на «укрупнение» бизнеса и исключение факто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его «дробления».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Так, ко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личество малых и средних предприятий, включая микропредприятия, снизится с 17191 в 2024 году до 16179 в 2027 году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(по базовому варианту прогноза), среднесписочная численность работников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увеличится с 117,3 тыс. человек в 2024 году до 119 тыс. человек в 2027 году (по базовом варианту прогноза).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В результате роста благосостояния населения автономного округа будет обеспечен высокий уро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вень потребительского спроса, что, в свою очередь, будет с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пособствовать увеличению 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борота предприятий-субъектов МСП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до 738,5 млрд рублей в 2027 году.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Достижению прогнозных значений будет способствовать комплекс мер государственной поддержки субъектов МСП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финансовой, имущественной, информационно-консультационной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 и образовательной.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В качестве точек роста также можно рассматривать созданную в автономном округе сеть индустриальных парков, призванных обеспечить субъекты МСП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необходимой инфраструктурой.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Потребительский рынок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Объем оборота розничной торговли в авто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номном округе в 2023 году составил 557,6 млрд рублей, увеличившись на 48,4 млрд рублей или 9,5 %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в номинальном выражении по сравнению с 2022 годом. Индекс физического объема составил 109,4 %.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Прирост продаж продовольственных товаров составил 21,9 млрд рубл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ей (8,9 %), непродовольственных товаров – 26,6 млрд рублей (10,1 %).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Основными факторами, повлиявшими на положительную динамику показателя, стали высокий уровень потребительской активности населения вследствие роста реальных доходов населения, низкие уровн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и безработицы и индекса потребительских цен на товары.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В стр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уктуре оборота розничной торговли доля пищевых продуктов, включая напитки, и табачных изделий составила 47,8 % (266,5 млрд рублей), непродовольственных товаров – 52,2 % (292,1 млрд рублей), сохранившись на уровне 2022 года (48,0 % и 52,0 % соответственно).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Доля продаж через Интернет в общем объеме оборота розничной торговли в 2023 году составила 5,9 %, увеличившись на 90,3 % по сравнению с 2022 годом (3,1 %), что свидетельствует о тренде на покупки через площадки электронной торговли и увеличении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их привлек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ательности для населения.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В 2024 году объем оборота розничной торговли увеличится на 8 % в реальном выражении и составит 637,4 млрд рублей. В 2025 – 2027 годы по базовому варианту прогнозируется рост на уровне 3,5 – 3,9 % в год,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по консервативному варианту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 – рост в пределах 1,8 – 2,3 % в год.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В прогнозном периоде рост потребительской активности населения будет поддерживаться: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ростом доходов населения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развитием отечественного производства продукции;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ростом объемов импорта товаров из дружественных стран;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низ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ким уровнем безработицы.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8. Платные услуги населению</w:t>
      </w:r>
      <w:r>
        <w:rPr>
          <w:rFonts w:ascii="Times New Roman" w:hAnsi="Times New Roman" w:cs="Times New Roman"/>
          <w:sz w:val="28"/>
          <w:szCs w:val="28"/>
          <w:lang w:eastAsia="zh-CN"/>
        </w:rPr>
      </w:r>
      <w:r>
        <w:rPr>
          <w:rFonts w:ascii="Times New Roman" w:hAnsi="Times New Roman" w:cs="Times New Roman"/>
          <w:sz w:val="28"/>
          <w:szCs w:val="28"/>
          <w:lang w:eastAsia="zh-CN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Объем платных услуг населению в автономном округе в 2023 году составил 166,9 млрд рублей, увеличившись на 19,5 млрд рублей или 13,3 % по сравнению с 2022 годом. Индекс физического объема составил 104,3. </w:t>
      </w:r>
      <w:r>
        <w:rPr>
          <w:rFonts w:ascii="Times New Roman" w:hAnsi="Times New Roman" w:cs="Times New Roman"/>
          <w:sz w:val="28"/>
          <w:szCs w:val="28"/>
          <w:lang w:eastAsia="zh-CN"/>
        </w:rPr>
      </w:r>
      <w:r>
        <w:rPr>
          <w:rFonts w:ascii="Times New Roman" w:hAnsi="Times New Roman" w:cs="Times New Roman"/>
          <w:sz w:val="28"/>
          <w:szCs w:val="28"/>
          <w:lang w:eastAsia="zh-CN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Наибольший темп прироста в 2023 году показали услуги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санаторно-курортных организаций (135,7 %), услуги фитнес-центров и спортивных клубов (71,1 %), услуги туристических агентств, туроператоров (47,1 %), услуги курьерской доставки (39,8 %).</w:t>
      </w:r>
      <w:r>
        <w:rPr>
          <w:rFonts w:ascii="Times New Roman" w:hAnsi="Times New Roman" w:cs="Times New Roman"/>
          <w:sz w:val="28"/>
          <w:szCs w:val="28"/>
          <w:lang w:eastAsia="zh-CN"/>
        </w:rPr>
      </w:r>
      <w:r>
        <w:rPr>
          <w:rFonts w:ascii="Times New Roman" w:hAnsi="Times New Roman" w:cs="Times New Roman"/>
          <w:sz w:val="28"/>
          <w:szCs w:val="28"/>
          <w:lang w:eastAsia="zh-CN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По итогам 2024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 года объем платных услуг населению увеличится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br/>
        <w:t xml:space="preserve">на 8,0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 % в реальном выражении и составит 192,0 млрд рублей. В 2025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 2027 годах по базовому варианту прогнозируется рост в среднем на уровне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4,2 %, по консервативному – на 2,9 %. В базовом варианте прогноза прирост объема платных услуг к 2027 году по сравнению с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 2023 годом составит 51,4 %.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Увеличение объемов платных услуг главным образом обусловлено ростом тарифов на услуги обязательного характера: жилищно-коммунальных, телекоммуникационных, транспортных. Данные услуги являются наиболее востребованными в среднеср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очном периоде, их удельный вес в общем объеме платных услуг составляет около 70 %.</w:t>
      </w:r>
      <w:r>
        <w:rPr>
          <w:rFonts w:ascii="Times New Roman" w:hAnsi="Times New Roman" w:cs="Times New Roman"/>
          <w:sz w:val="28"/>
          <w:szCs w:val="28"/>
          <w:lang w:eastAsia="zh-CN"/>
        </w:rPr>
      </w:r>
      <w:r>
        <w:rPr>
          <w:rFonts w:ascii="Times New Roman" w:hAnsi="Times New Roman" w:cs="Times New Roman"/>
          <w:sz w:val="28"/>
          <w:szCs w:val="28"/>
          <w:lang w:eastAsia="zh-CN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Уровень жизни населения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 течение 2023 года доходы населения демонстрировали устойчивую динамику роста (к уровню 2022 года):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среднедушевые денежные доходы населения выро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сли на 8,7 %;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реальные денежные доходы населения – на 7,6 %;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среднемесячная заработная плата работников – на 10,9 %;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реальная оплата труда работников – на 8,4 %;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средний размер доходов пенсионеров – на 7,4 %;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реальный размер доходов пенсионеров – на 5 %;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ровень бедности снизился на 0,4 % (с 6,9 до 6,5 %) и составил </w:t>
      </w:r>
      <w:r>
        <w:rPr>
          <w:rFonts w:ascii="Times New Roman" w:hAnsi="Times New Roman" w:cs="Times New Roman"/>
          <w:sz w:val="28"/>
          <w:szCs w:val="28"/>
          <w:lang w:eastAsia="zh-CN"/>
        </w:rPr>
        <w:br/>
        <w:t xml:space="preserve">112,4 тыс. человек.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widowControl w:val="off"/>
      </w:pPr>
      <w:r>
        <w:rPr>
          <w:rFonts w:ascii="Times New Roman CYR" w:hAnsi="Times New Roman CYR" w:cs="Times New Roman CYR"/>
          <w:sz w:val="28"/>
          <w:szCs w:val="28"/>
        </w:rPr>
        <w:t xml:space="preserve">Структура денежных доходов в прогнозном периоде существенно не изме</w:t>
      </w:r>
      <w:r>
        <w:rPr>
          <w:rFonts w:ascii="Times New Roman CYR" w:hAnsi="Times New Roman CYR" w:cs="Times New Roman CYR"/>
          <w:sz w:val="28"/>
          <w:szCs w:val="28"/>
        </w:rPr>
        <w:t xml:space="preserve">нится. Оплата труда сохранится в качестве основного источника формирования денежных доходов населения – около 74 %, социальные выплаты составят более 19 % общего объема денежных доходов населения, основной составляющей частью которых будут являться пенсии.</w:t>
      </w:r>
      <w:r/>
    </w:p>
    <w:p>
      <w:pPr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всего прогнозного периода предусматривается повышение уровня материального обеспечения пенсионеров за счет ежегодной индексации страховых и социальных пенсий, социальных доплат неработаю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щим пенсионерам, индексации социальных пособий и социальных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выплат различным категориям граждан.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92"/>
        <w:contextualSpacing/>
        <w:ind w:firstLine="709"/>
        <w:widowControl w:val="off"/>
        <w:rPr>
          <w:b w:val="0"/>
          <w:bCs w:val="0"/>
        </w:rPr>
      </w:pPr>
      <w:r>
        <w:rPr>
          <w:b w:val="0"/>
          <w:bCs w:val="0"/>
          <w:sz w:val="28"/>
          <w:szCs w:val="28"/>
          <w:highlight w:val="white"/>
          <w:lang w:eastAsia="zh-CN"/>
        </w:rPr>
        <w:t xml:space="preserve">В регионе проживают около 470 тыс. пенсионеров, которым все меры социальной поддержки будут сохранены на прежнем уровне. Средний размер дохода </w:t>
      </w:r>
      <w:r>
        <w:rPr>
          <w:b w:val="0"/>
          <w:bCs w:val="0"/>
          <w:sz w:val="28"/>
          <w:szCs w:val="28"/>
          <w:lang w:eastAsia="zh-CN"/>
        </w:rPr>
        <w:t xml:space="preserve">пенсионера в регионе к 2027 году обеспечит около двух </w:t>
      </w:r>
      <w:r>
        <w:rPr>
          <w:b w:val="0"/>
          <w:bCs w:val="0"/>
          <w:sz w:val="28"/>
          <w:szCs w:val="28"/>
          <w:lang w:eastAsia="zh-CN"/>
        </w:rPr>
        <w:t xml:space="preserve">величин прожиточного минимума пенсионера и составит более 38 тыс. рублей.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contextualSpacing/>
        <w:ind w:firstLine="720"/>
        <w:jc w:val="both"/>
        <w:spacing w:after="0" w:line="240" w:lineRule="auto"/>
        <w:widowControl w:val="off"/>
        <w:rPr>
          <w:rFonts w:ascii="Times New Roman" w:hAnsi="Times New Roman" w:cs="Times New Roman"/>
          <w:spacing w:val="-2"/>
          <w:sz w:val="28"/>
          <w:szCs w:val="28"/>
          <w:highlight w:val="yellow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С учетом прогнозируемых параметров социально-экономического развития автономного округа темп прироста реальных денежных доходов населения в 2024 году (оценка) ожидается на уровне 4,6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%, в 2025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–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2027 годах – в среднем 2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–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3 % ежегодно. В результате ожидаемого увеличения доходов населения и реализации адресной социальной помощи в среднесрочном периоде прогнозируется снижение уровня бедности с 6,3 % в 2024 году (оценка) до 6,2 % в 2025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году и 6% к концу горизонта планирования. </w:t>
      </w:r>
      <w:r>
        <w:rPr>
          <w:rFonts w:ascii="Times New Roman" w:hAnsi="Times New Roman" w:cs="Times New Roman"/>
          <w:spacing w:val="-2"/>
          <w:sz w:val="28"/>
          <w:szCs w:val="28"/>
          <w:highlight w:val="yellow"/>
        </w:rPr>
      </w:r>
      <w:r>
        <w:rPr>
          <w:rFonts w:ascii="Times New Roman" w:hAnsi="Times New Roman" w:cs="Times New Roman"/>
          <w:spacing w:val="-2"/>
          <w:sz w:val="28"/>
          <w:szCs w:val="28"/>
          <w:highlight w:val="yellow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и в среднесрочной перспективе ожидается рост фонда заработной платы и среднемесячной начисленной заработной платы работников организаций за счет: ежегодного повышения минимального размера оплаты труда;</w:t>
      </w:r>
      <w:r>
        <w:rPr>
          <w:rFonts w:ascii="Times New Roman" w:hAnsi="Times New Roman" w:cs="Times New Roman"/>
          <w:sz w:val="28"/>
          <w:szCs w:val="28"/>
        </w:rPr>
        <w:t xml:space="preserve"> поддержания достигнутых уровней заработной платы отдельных категорий работников, определенных майскими указами Президента Российской Федерации; проведения ежегод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ной индексации заработной платы иных категорий работников организаций бюджетной сферы; меропри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ятий по поддержке и популяризации субъектов МСП, по развитию регионального рынка труда и содействию эффективной занятости населения.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 внебюджетном секторе рост заработной платы будет определяться динамикой производительности труда и предложением трудов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х ресурсов на рынке труда при увеличении спроса на них, а также ежегодной индексацией заработной платы работников на уровень не ниже индекса потребительских цен на товары и услуги.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реализуемых мероприятий в 2024 году фонд заработной платы работник</w:t>
      </w:r>
      <w:r>
        <w:rPr>
          <w:rFonts w:ascii="Times New Roman" w:hAnsi="Times New Roman" w:cs="Times New Roman"/>
          <w:sz w:val="28"/>
          <w:szCs w:val="28"/>
        </w:rPr>
        <w:t xml:space="preserve">ов организаций оценивается на уровне 1098,9 млрд рублей (114,9 процентов к 2023 году), среднемесячная начисленная заработная плата работников по полному кругу организаций увеличится со 108,1 тыс. рублей в 2024 году (оценка) до 158,7 тыс. рублей в 2027 году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Прирост </w:t>
      </w:r>
      <w:r>
        <w:rPr>
          <w:rFonts w:ascii="Times New Roman" w:hAnsi="Times New Roman" w:cs="Times New Roman"/>
          <w:sz w:val="28"/>
          <w:szCs w:val="28"/>
        </w:rPr>
        <w:t xml:space="preserve">заработной платы прогнозируется темпами, опережающими инфляцию, в результате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реальная заработная плата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будет увеличиваться в среднем на 3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zh-CN"/>
        </w:rPr>
        <w:t xml:space="preserve">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4 % ежегодно.</w:t>
      </w:r>
      <w:r>
        <w:rPr>
          <w:rFonts w:ascii="Times New Roman" w:hAnsi="Times New Roman" w:cs="Times New Roman"/>
          <w:spacing w:val="-2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Таблица 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Структура денежных доходов населения автономного округа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40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процентах к итогу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41"/>
        <w:tblW w:w="0" w:type="auto"/>
        <w:tblLayout w:type="fixed"/>
        <w:tblLook w:val="04A0" w:firstRow="1" w:lastRow="0" w:firstColumn="1" w:lastColumn="0" w:noHBand="0" w:noVBand="1"/>
      </w:tblPr>
      <w:tblGrid>
        <w:gridCol w:w="3084"/>
        <w:gridCol w:w="1134"/>
        <w:gridCol w:w="1134"/>
        <w:gridCol w:w="1242"/>
        <w:gridCol w:w="1242"/>
        <w:gridCol w:w="1276"/>
      </w:tblGrid>
      <w:tr>
        <w:tblPrEx/>
        <w:trPr/>
        <w:tc>
          <w:tcPr>
            <w:tcW w:w="308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 денежных доходов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 год,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год,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W w:w="375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прогноз (базовый вариант)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0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08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Денежные доходы,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08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доходы от предпринимательской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08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оплата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08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социальные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308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доходы от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308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прочие доходы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4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2"/>
        <w:contextualSpacing/>
        <w:ind w:firstLine="709"/>
        <w:widowControl w:val="off"/>
        <w:rPr>
          <w:sz w:val="28"/>
          <w:szCs w:val="28"/>
        </w:rPr>
        <w:pBdr>
          <w:right w:val="none" w:color="000000" w:sz="4" w:space="9"/>
        </w:pBd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contextualSpacing/>
        <w:jc w:val="center"/>
        <w:widowControl w:val="off"/>
        <w:rPr>
          <w:b w:val="0"/>
          <w:bCs w:val="0"/>
          <w:sz w:val="28"/>
          <w:szCs w:val="28"/>
        </w:rPr>
        <w:pBdr>
          <w:right w:val="none" w:color="000000" w:sz="4" w:space="9"/>
        </w:pBdr>
      </w:pPr>
      <w:r>
        <w:rPr>
          <w:b w:val="0"/>
          <w:bCs w:val="0"/>
          <w:sz w:val="28"/>
          <w:szCs w:val="28"/>
        </w:rPr>
        <w:t xml:space="preserve">10. Труд и занятость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92"/>
        <w:contextualSpacing/>
        <w:ind w:firstLine="709"/>
        <w:widowControl w:val="off"/>
        <w:pBdr>
          <w:right w:val="none" w:color="000000" w:sz="4" w:space="9"/>
        </w:pBdr>
      </w:pPr>
      <w:r>
        <w:rPr>
          <w:b w:val="0"/>
          <w:bCs w:val="0"/>
          <w:sz w:val="28"/>
          <w:szCs w:val="28"/>
        </w:rPr>
        <w:t xml:space="preserve">По данным Федер</w:t>
      </w:r>
      <w:r>
        <w:rPr>
          <w:b w:val="0"/>
          <w:bCs w:val="0"/>
          <w:sz w:val="28"/>
          <w:szCs w:val="28"/>
        </w:rPr>
        <w:t xml:space="preserve">альной службы государственной статистики, в мае – июле 2024 года численность рабочей силы составила 943,8 тыс. человек, увеличившись по сравнению с аналогичным периодом 2023 года на 2,3 % или на 21 тыс. человек за счет роста численности занятого населения </w:t>
      </w:r>
      <w:r>
        <w:rPr>
          <w:b w:val="0"/>
          <w:bCs w:val="0"/>
          <w:sz w:val="28"/>
          <w:szCs w:val="28"/>
        </w:rPr>
        <w:br/>
        <w:t xml:space="preserve">на 2,7 % до 931,1 тыс. человек, что составило 102,7 % к уровню июля 2023 года. </w:t>
      </w:r>
      <w:r/>
    </w:p>
    <w:p>
      <w:pPr>
        <w:pStyle w:val="892"/>
        <w:contextualSpacing/>
        <w:ind w:firstLine="709"/>
        <w:widowControl w:val="off"/>
        <w:rPr>
          <w:b w:val="0"/>
          <w:bCs w:val="0"/>
        </w:rPr>
        <w:pBdr>
          <w:right w:val="none" w:color="000000" w:sz="4" w:space="9"/>
        </w:pBdr>
      </w:pPr>
      <w:r>
        <w:rPr>
          <w:b w:val="0"/>
          <w:bCs w:val="0"/>
          <w:sz w:val="28"/>
          <w:szCs w:val="28"/>
        </w:rPr>
        <w:t xml:space="preserve">В 2024 году тенденция на снижение уровня безработицы и сокращения числа безработных сохраняется. Численность безработных (по методологии Международной организации труда) в сре</w:t>
      </w:r>
      <w:r>
        <w:rPr>
          <w:b w:val="0"/>
          <w:bCs w:val="0"/>
          <w:sz w:val="28"/>
          <w:szCs w:val="28"/>
        </w:rPr>
        <w:t xml:space="preserve">днем составила </w:t>
      </w:r>
      <w:r>
        <w:rPr>
          <w:b w:val="0"/>
          <w:bCs w:val="0"/>
          <w:sz w:val="28"/>
          <w:szCs w:val="28"/>
        </w:rPr>
        <w:br/>
        <w:t xml:space="preserve">12,7 тыс. человек в мае – июле 2024 года, что на 25 % меньше, чем годом ранее (в мае – июле 2023 года – 16,6 тыс. человек). Уровень общей безработицы снизился до 1,3 % от численности рабочей силы (в мае-июле 2023 года – 1,8 %). 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contextualSpacing/>
        <w:ind w:firstLine="705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Аналогичная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ситуация сохраняется на регистрируемом рынке труда.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contextualSpacing/>
        <w:ind w:firstLine="709"/>
        <w:rPr>
          <w:szCs w:val="28"/>
          <w:highlight w:val="white"/>
        </w:rPr>
      </w:pPr>
      <w:r>
        <w:rPr>
          <w:szCs w:val="28"/>
        </w:rPr>
        <w:t xml:space="preserve">Численность безработных граждан, зарегистрированных в органах службы занятости населения автономного округа в январе – августе 2024 года, составила 4127 человек, снизившись относительно аналогичного </w:t>
      </w:r>
      <w:r>
        <w:rPr>
          <w:szCs w:val="28"/>
          <w:highlight w:val="white"/>
        </w:rPr>
        <w:t xml:space="preserve">пок</w:t>
      </w:r>
      <w:r>
        <w:rPr>
          <w:szCs w:val="28"/>
          <w:highlight w:val="white"/>
        </w:rPr>
        <w:t xml:space="preserve">азателя 2023 года на 24,1 % (январь </w:t>
      </w:r>
      <w:r>
        <w:rPr>
          <w:szCs w:val="28"/>
        </w:rPr>
        <w:t xml:space="preserve">–</w:t>
      </w:r>
      <w:r>
        <w:rPr>
          <w:szCs w:val="28"/>
          <w:highlight w:val="white"/>
        </w:rPr>
        <w:t xml:space="preserve"> август 2023 года – 5440 человек).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92"/>
        <w:contextualSpacing/>
        <w:ind w:firstLine="709"/>
        <w:widowControl w:val="off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прогнозном периоде сбалансированности рынка труда автономного округа будут способствовать обучающие мероприятия федерального проекта «Содействие занятости», повышение трудовой мобиль</w:t>
      </w:r>
      <w:r>
        <w:rPr>
          <w:b w:val="0"/>
          <w:bCs w:val="0"/>
          <w:sz w:val="28"/>
          <w:szCs w:val="28"/>
        </w:rPr>
        <w:t xml:space="preserve">ности населения на рынке труда, реализация «дорожной карты» по содействию </w:t>
      </w:r>
      <w:r>
        <w:rPr>
          <w:b w:val="0"/>
          <w:bCs w:val="0"/>
          <w:sz w:val="28"/>
          <w:szCs w:val="28"/>
        </w:rPr>
        <w:br/>
        <w:t xml:space="preserve">в трудоустройстве и развитии карьеры молодежи до 2030 года, в рамках которой большое внимание уделяется профориентационной работе со школьниками 9 – 11 классов. Ежегодно в период с </w:t>
      </w:r>
      <w:r>
        <w:rPr>
          <w:b w:val="0"/>
          <w:bCs w:val="0"/>
          <w:sz w:val="28"/>
          <w:szCs w:val="28"/>
        </w:rPr>
        <w:t xml:space="preserve">2025 по 2027 годы мероприятиями активной политики занятости планируется охватить около 57 тыс.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contextualSpacing/>
        <w:ind w:firstLine="709"/>
        <w:widowControl w:val="off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прогнозном периоде не прогнозируется резких изменений – по базовому варианту </w:t>
      </w:r>
      <w:r>
        <w:rPr>
          <w:b w:val="0"/>
          <w:bCs w:val="0"/>
          <w:sz w:val="28"/>
          <w:szCs w:val="28"/>
          <w:highlight w:val="white"/>
        </w:rPr>
        <w:t xml:space="preserve">прогноза числ</w:t>
      </w:r>
      <w:r>
        <w:rPr>
          <w:b w:val="0"/>
          <w:bCs w:val="0"/>
          <w:sz w:val="28"/>
          <w:szCs w:val="28"/>
        </w:rPr>
        <w:t xml:space="preserve">енность зарегистрированных безработных граждан составит (на </w:t>
      </w:r>
      <w:r>
        <w:rPr>
          <w:b w:val="0"/>
          <w:bCs w:val="0"/>
          <w:sz w:val="28"/>
          <w:szCs w:val="28"/>
        </w:rPr>
        <w:t xml:space="preserve">конец года) 2,4 – 2,5 тыс. человек, уровень регистрируемой безработицы – 0,26 – 0,27 %, по консервативному – 3,0 – 3,2 тыс. человек, уровень регистрируемой безработицы – 0,33 – 0,35 %.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contextualSpacing/>
        <w:ind w:firstLine="709"/>
        <w:widowControl w:val="off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Трудоустройство граждан с инвалидностью (новые направления </w:t>
      </w:r>
      <w:r>
        <w:rPr>
          <w:sz w:val="28"/>
          <w:szCs w:val="28"/>
          <w:lang w:eastAsia="zh-CN"/>
        </w:rPr>
        <w:t xml:space="preserve">– </w:t>
      </w:r>
      <w:r>
        <w:rPr>
          <w:b w:val="0"/>
          <w:bCs w:val="0"/>
          <w:sz w:val="28"/>
          <w:szCs w:val="28"/>
        </w:rPr>
        <w:t xml:space="preserve">социальная занятость, сопровождаемая трудовая деятельность инвалидов </w:t>
      </w:r>
      <w:r>
        <w:rPr>
          <w:b w:val="0"/>
          <w:bCs w:val="0"/>
          <w:sz w:val="28"/>
          <w:szCs w:val="28"/>
        </w:rPr>
        <w:br/>
        <w:t xml:space="preserve">1-2 группы, занятость инвалидов с </w:t>
      </w:r>
      <w:commentRangeStart w:id="0"/>
      <w:r/>
      <w:commentRangeEnd w:id="0"/>
      <w:r>
        <w:commentReference w:id="0"/>
      </w:r>
      <w:r>
        <w:rPr>
          <w:b w:val="0"/>
          <w:bCs w:val="0"/>
          <w:sz w:val="28"/>
          <w:szCs w:val="28"/>
        </w:rPr>
        <w:t xml:space="preserve">расстройствами аутистического спектра и другими ментальными нарушениями), участников специальной военной операции, завершивших военную службы и члено</w:t>
      </w:r>
      <w:r>
        <w:rPr>
          <w:b w:val="0"/>
          <w:bCs w:val="0"/>
          <w:sz w:val="28"/>
          <w:szCs w:val="28"/>
        </w:rPr>
        <w:t xml:space="preserve">в их семей будет являться приоритетным направлением в сфере занятости.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contextualSpacing/>
        <w:jc w:val="center"/>
        <w:widowControl w:val="off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11. Демография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 среднесрочной перспективе демографическая обстановка </w:t>
      </w:r>
      <w:r>
        <w:rPr>
          <w:rFonts w:ascii="Times New Roman" w:hAnsi="Times New Roman" w:cs="Times New Roman"/>
          <w:sz w:val="28"/>
          <w:szCs w:val="28"/>
          <w:lang w:eastAsia="zh-CN"/>
        </w:rPr>
        <w:br/>
        <w:t xml:space="preserve">в автономном округе будет формироваться под влиянием тенденций увеличения численности населения за счет миграцио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нного прироста населения, естественного прироста при реализации мероприятий, направленных на повы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шение рождаемости и сокращение смертности. Прогнозируемая среднегодовая численность населения автономного округа в 2024 году составит 1767,04 тыс. человек, в 2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027 году – 1815,37 тыс. человек по базовому варианту прогноза, 1807,29 тыс. человек по консервативному варианту прогноза.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Показатель общего коэ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ффициента рождаемости спрогнозирован умеренно с понижением: с 10,1 родившихся живыми на 1000 человек населения в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2024 году до 10 в 2027 году.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Благодаря мероприятиям, направленным на повышение личной ответственности за свое здоровье, эффективности превентивных мер по борьбе с заболеваниями, на совершенствование высокотехнологичной медицинской помощи, внедрение новых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технологий и видов лечения, прогнозируется сниже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ние общего коэффициента смертности к 2027 году до отметки 6,2 в расчете на 1000 человек – по консервативному варианту прогноза, до 6,1 в расчете на 1000 человек – по базовому варианту прогноза.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В прогнозном п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ериоде основные меры в сфере здравоохранения будут направлены на повышение качества и доступности медицинской помощи пациентам. Запланированы мероприятия по совершенствованию системы оказания медицинской помощи больным сердечно-сосудистыми заболеваниями, п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о раннему выявлению онкологических заболеваний, их лечению и снижению социально значимых заболеваний, в том числе туберкулеза.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В автономном округе реализуются мероприятия по формированию системы мотивации гражда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н к здоровому образу жизни, включая здоровое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питание и отказ от вредных привычек. Создаются для всех категорий и групп населения условия для занятий физической культурой и спортом, развивается система раннего выявления заболеваний, патологических состояний и факторов риска их развития, включая прове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дение медицинских осмотров и диспансеризации населения, обеспечению граждан качественными и безопасными лекарственными средствами, что способствует увеличению ожидаемой продолжительности жизни при рождении на протяжении всего прогнозируемого периода.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максимальной реализации мер демографической поддержки прогнозируется увеличение ожидаемой продолжите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t xml:space="preserve">льности жизни в 2027 году до 76,44 лет – по консервативному варианту прогноза, до 76,90 лет – </w:t>
      </w:r>
      <w:r>
        <w:rPr>
          <w:rFonts w:ascii="Times New Roman" w:hAnsi="Times New Roman" w:cs="Times New Roman"/>
          <w:sz w:val="28"/>
          <w:szCs w:val="28"/>
          <w:highlight w:val="white"/>
          <w:lang w:eastAsia="zh-CN"/>
        </w:rPr>
        <w:br/>
        <w:t xml:space="preserve">по базовому варианту прогноза.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highlight w:val="white"/>
        </w:rPr>
        <w:sectPr>
          <w:footnotePr/>
          <w:endnotePr/>
          <w:type w:val="nextPage"/>
          <w:pgSz w:w="11906" w:h="16838" w:orient="portrait"/>
          <w:pgMar w:top="1418" w:right="1276" w:bottom="1134" w:left="1559" w:header="709" w:footer="709" w:gutter="0"/>
          <w:cols w:num="1" w:sep="0" w:space="708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прогноза социально-экономического развития автономного округа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41"/>
        <w:tblW w:w="151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84"/>
        <w:gridCol w:w="2943"/>
        <w:gridCol w:w="1463"/>
        <w:gridCol w:w="1100"/>
        <w:gridCol w:w="1105"/>
        <w:gridCol w:w="1102"/>
        <w:gridCol w:w="1108"/>
        <w:gridCol w:w="1105"/>
        <w:gridCol w:w="1163"/>
        <w:gridCol w:w="1070"/>
        <w:gridCol w:w="1081"/>
        <w:gridCol w:w="113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прогноз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2026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6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2027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Merge w:val="continue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консервативный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Численность населения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br/>
              <w:t xml:space="preserve">(в среднегодовом исчислении)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1 722,06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1 744,87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1 767,04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1 779,94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1 782,71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1 793,32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1 798,89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1 807,29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1 815,37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Численность населения трудоспособного возраста (на 1 января года)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1 054,39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1 053,10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1 084,33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1 088,83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1 089,66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1 105,87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1 108,47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1 125,97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1 131,20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Численность населения старше трудоспособного возраста (на 1 января года)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270,17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286,48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281,69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296,15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296,37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296,56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297,26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296,12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298,35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Ожидаемая продолжительность жизни при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число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75,42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76,32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75,92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75,92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76,18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76,18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76,44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76,44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Общий коэффициент рождаемости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число родившихся живыми на 1000 человек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Суммарный коэффициент рождаемости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число детей на 1 женщину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1,73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Общий коэффициент смертности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число умерших на 1000 человек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естественного прироста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на 1000 человек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Миграционный прирост (убыль)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21,04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8,61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8,54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7,31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8,94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8,08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Валовой региональный продукт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Валовой региональный продукт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6 894,32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8 671,53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9 801,39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10 021,47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10 766,91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10 082,36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11 003,29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10 387,63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11 335,53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физического объема валового регионального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 в сопоставимых ценах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 102,60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  98,66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  97,21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 101,35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 102,98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 100,08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100,39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 100,15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   100,92  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Промышленное производство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7 119,29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8 956,66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10 150,40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10 314,12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11 129,27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10 289,55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11 279,38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10 561,45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11 526,07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промышленного производства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103,10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98,50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102,69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99,62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99,73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99,87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Добыча полезных ископаемых (раздел В)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97,50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95,62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101,47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99,39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99,48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99,81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Обрабатывающие производства (раздел С)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99,60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100,64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пищевых продуктов (10)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94,10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106,70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Обработка древесины и производство изделий из дерева и пробки, кроме мебели, производство изделий из соломки и материалов для плетения (16)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112,90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121,80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бумаги и бумажных изделий (17)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80,50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82,40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Деятельность полиграфическая и копирование носителей информации (18)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84,20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83,40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кокса и нефтепродуктов (19)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98,80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100,86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химических веществ и химических продуктов (20)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87,80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73,20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металлургическое (24)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117,00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готовых металлических изделий, кроме машин и оборудования (25)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134,20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97,80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машин и оборудования, не включенных в другие группировки (28)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198,90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152,90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автотранспортных средств, прицепов и полуприцепов (29)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88,00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95,60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Производство мебели (31)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95,70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Ремонт и монтаж машин и оборудования (33)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116,50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92,10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Обеспечение электрической энергией, газом и паром; кондиционирование воздуха (раздел D)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102,20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98,80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98,59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96,65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97,65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105,08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деятельность по ликвидации загрязнений (раздел Е)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116,30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104,70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Потребление электроэнергии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млн кВт.ч.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69 429,50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0"/>
                <w:szCs w:val="20"/>
              </w:rPr>
              <w:t xml:space="preserve">68 486,40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72699,64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73 375,14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73 375,14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74 155,88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74 155,88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74 155,88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74 155,88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IV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Сельское хозяйство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Продукция сельского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9,89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10,57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11,45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11,43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12,09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12,76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12,79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производства продукции сельского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 в сопоставимых ценах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88,10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99,50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101,62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103,80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104,00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101,50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101,70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Объем работ, выполненных по виду деятельности «Строительство»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в ценах соответствующих лет; 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417,44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477,21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525,70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560,02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571,71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591,53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617,06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623,62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664,17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физического объема работ, выполненных по виду деятельности «Строительство»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 в сопоставимых ценах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95,20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105,90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102,50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102,50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Ввод в действие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кв. м общей площади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877,84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955,28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1 013,00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1 013,00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1 013,00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1 154,00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VI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Торговля и услуги населению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потребительских цен на товары и услуги, на конец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декабрю предыдущего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потребительских цен на товары и услуги, в среднем за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г/г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102,3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Оборот розничной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509,20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557,64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637,43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678,78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690,86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719,83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745,33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761,91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801,38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физического объема оборота розничной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 в сопоставимых ценах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94,70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107,96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102,29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102,07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103,63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101,77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103,48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Объем платных услуг населению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147,34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166,92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191,95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209,85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214,47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225,33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233,24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242,64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252,72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физического объема платных услуг населению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 в сопоставимых ценах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105,98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102,65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103,05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104,17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102,85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103,98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Малое и среднее предпринимательство, включая микропредприятия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Количество малых и средних предприятий, включая микропредприятия (на конец года)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единиц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18 348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17 723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17 191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16 590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16 676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16 092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16 342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15 690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16 179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Среднесписочная численность работников на предприятиях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малого и среднего предпринимательства (включая микропредприятия) (без внешних совместителей)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123,03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117,74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117,30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117,50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117,90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117,70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118,40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Оборот малых и средних предприятий, включая микропредприятия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586,06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635,34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664,50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686,10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687,80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709,10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712,50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733,20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738,50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VIII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Инвестиции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Инвестиции в основной капитал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1 328,04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1 552,81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1 697,70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1 758,98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1 797,34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1 797,79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1 879,75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1 855,89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1 949,24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физического объема инвестиций в основной капитал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к предыдущему году в сопоставимых ценах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110,20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107,50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103,14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101,31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101,54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100,23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101,66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Удельный вес инвестиций в основной капитал в валовом региональном продукте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17,32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17,08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17,87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Инвестиции в основной капитал по источникам финансирования (без субъектов малого и среднего предпринимательства и объема инвестиций, не наблюдаемых прямыми статистическими методами)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Собственные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1 114,67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1 293,67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1 364,35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1 446,76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1 475,91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1 477,61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1 543,01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1 525,92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1 603,14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Привлеченные средства, из них: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152,38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187,82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211,12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185,57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192,02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190,73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196,35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205,76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кредиты банков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92,54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94,10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89,77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91,98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93,91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93,87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96,82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96,74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98,85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заемные средства других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8,81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41,80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43,28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43,72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44,17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45,08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45,52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46,03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бюджетные средства, 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38,43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54,39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61,08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31,10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34,90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39,23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33,71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федеральный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2,31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3,09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7,11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бюджеты субъектов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44,69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49,69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24,45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24,43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из местных бюджетов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6,41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8,30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прочие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17,42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18,47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19,49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20,27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20,88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Денежные доходы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Реальные денежные доходы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процент г/г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109,20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107,60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55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103,00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101,50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102,50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101,00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102,00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Величина прожиточного минимума в среднем на душу населения, 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руб./мес.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18 625,00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19 649,00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20 435,00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21 191,00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21 252,00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22 123,00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22 102,00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23 318,00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22 986,00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для трудоспособного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руб./мес.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20 302,00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21 417,00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22 274,00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23 098,00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23 165,00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24 114,00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24 091,00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25 417,00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25 055,00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для пенсионеров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руб./мес.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16 067,00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16 951,00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17 629,00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18 281,00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18 334,00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19 085,00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19 067,00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20 116,00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19 830,00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    для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руб./мес.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18 654,00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19 680,00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20 467,00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21 224,00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21 286,00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22 158,00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22 137,00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23 355,00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23 022,00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Численность населения с денежными доходами ниже прожиточного минимума к общей численности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6,05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5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Труд и занятость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Численность трудовых ресурсов – всего, 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1 295,95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1 317,07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1  277,37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1 290,73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1 294,78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1 303,13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1 308,26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1 316,37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1 323,47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трудоспособное население в трудоспособном возрасте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1 180,47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1 208,27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1 211,04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1 225,22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1 226,15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1 238,05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1 240,03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1 251,22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1 255,24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иностранные трудовые мигранты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66,94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численность лиц старше трудоспособного возраста и подростков, занятых в экономике, 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48,51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37,77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34,63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58.3.1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пенсионеры старше трудоспособного возраста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48,51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37,77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34,20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58.3.2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подростки моложе трудоспособного возраста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Среднегодовая численность занятых в экономике (по данным баланса трудовых ресурсов) всего, в том числе по видам экономической деятельности: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1 070,58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1 101,91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1 116,12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1 125,32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1 127,00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1 133,16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1 135,97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1 139,58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1 144,23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хозяйство, охота, рыболовство и рыбоводство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13,03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13,84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13,89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14,01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14,05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14,13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14,19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добыча полезных ископаемых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245,09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251,72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254,92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253,14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253,52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255,52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256,15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258,96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260,02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обрабатывающие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63,11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67,19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66,88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66,98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67,55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67,71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68,01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68,28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электрической энергией, газом и паром; кондиционирование воздуха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34,60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33,98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36,17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36,23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36,22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36,02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36,17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10,10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10,51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10,53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10,53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110,64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114,44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115,97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116,01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116,19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117,23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117,52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117,98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118,46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торговля оптовая и розничная; ремонт автотранспортных средств и мотоциклов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128,88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131,41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133,15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134,95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135,15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136,23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136,57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136,54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137,10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транспортировка и хранение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107,86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112,72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114,18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115,41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115,58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115,69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115,97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116,24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116,71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гостиниц и предприятий общественного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25,88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28,35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28,19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в области информации и 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15,33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16,52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16,92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16,94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16,84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16,88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16,82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16,89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финансовая и страховая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11,99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12,05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12,75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12,77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12,68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12,71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12,61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12,66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по операциям с недвижимым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25,79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25,75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26,12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27,48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27,52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27,58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27,36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профессиональная, научная и техническая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27,47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29,35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29,86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29,85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29,93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29,90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30,02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административная и сопутствующие дополнительные 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29,92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32,59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32,57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32,62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32,76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32,85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32,86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управление и обеспечение военной безопасности; социальное 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44,98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44,66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47,15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47,22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47,06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47,17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47,06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47,25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72,27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73,64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74,56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76,11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76,22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76,30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76,49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76,60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76,92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в области здравоохранения и социальных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62,47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64,25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65,07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65,28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65,38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65,79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65,95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66,33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66,60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59.19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в области культуры, спорта, организации досуга и развлечений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18,74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18,99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19,43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19,46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19,73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19,81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виды экономической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22,43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22,84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23,32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23,79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23,94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23,84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23,93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населения в трудоспособном возрасте, не занятого в экономике – всего, 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225,37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215,16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161,25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165,41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167,78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169,97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172,29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176,79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179,24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учащихся трудоспособного возраста, обучающихся с отрывом от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61,33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64,72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65,95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66,34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66,45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66,24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66,45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безработных, зарегистрированных в органах службы занятости (среднегодовая)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3,81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2,65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2,60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3,45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прочих категорий населения в трудоспособном возрасте, не занятого в экономике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160,23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147,44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95,91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99,13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100,13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103,24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107,11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110,24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Среднемесячная номинальная начисленная заработная плата одного работника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руб./мес.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97562,00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108148,00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124250,00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132948,00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135433,00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141589,00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146944,00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150084,00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158700,00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Темп роста среднемесячной номинальной начисленной заработной платы одного работника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 г/г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114,18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114,89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79845,00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87533,00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100021,00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106092,00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108617,00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112422,00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117262,00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118567,00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126008,00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Темп роста среднемесячной начисленной заработной платы наемных работников в организациях, 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индивидуальных предпринимателей и физических лиц (среднемесячный доход от трудовой деятельности)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 г/г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111,21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109,63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114,27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106,07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108,59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107,96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105,47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107,46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Реальная заработная плата одного работника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 г/г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105,18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107,32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101,39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103,03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102,49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104,06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100,85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103,82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Индекс производительности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 г/г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97,68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97,31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99,46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100,96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99,09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99,30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99,36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100,12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Уровень зарегистрированной безработицы (на конец года)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Численность безработных, зарегистрированных в государственных учреждениях службы занятости населения (на конец года)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тыс.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3,49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2,78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3,17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2,38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Фонд заработной платы, начисленной работникам списочного состава и внешним совместителям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861,16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956,42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1 098,93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1 176,21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1 198,79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1 253,29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1 301,99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1 329,81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1 408,26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Темп роста фонда заработной платы работников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% г/г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114,24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111,06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107,03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109,09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106,55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108,61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106,11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108,16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</w:pPr>
      <w:r/>
      <w:r/>
    </w:p>
    <w:sectPr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baevaOO" w:date="2024-10-08T18:23:00Z" w:initials="K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расстройствами аутистического спектра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88D9392" w16cex:dateUtc="2024-10-08T13:23:0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88D93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ourier New">
    <w:panose1 w:val="02070309020205020404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  <w:jc w:val="center"/>
      <w:rPr>
        <w:rFonts w:ascii="Times New Roman" w:hAnsi="Times New Roman" w:cs="Times New Roman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\* MERGEFORMAT</w:instrText>
    </w:r>
    <w:r>
      <w:rPr>
        <w:sz w:val="20"/>
        <w:szCs w:val="20"/>
      </w:rPr>
      <w:fldChar w:fldCharType="separate"/>
    </w:r>
    <w:r>
      <w:rPr>
        <w:rFonts w:ascii="Times New Roman" w:hAnsi="Times New Roman" w:eastAsia="Times New Roman" w:cs="Times New Roman"/>
        <w:sz w:val="20"/>
        <w:szCs w:val="20"/>
      </w:rPr>
      <w:t xml:space="preserve">9</w:t>
    </w:r>
    <w:r>
      <w:rPr>
        <w:rFonts w:ascii="Times New Roman" w:hAnsi="Times New Roman" w:eastAsia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  <w:jc w:val="center"/>
    </w:pPr>
    <w:r/>
    <w:r/>
  </w:p>
  <w:p>
    <w:pPr>
      <w:pStyle w:val="735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 w:default="1">
    <w:name w:val="Normal"/>
    <w:qFormat/>
  </w:style>
  <w:style w:type="paragraph" w:styleId="689">
    <w:name w:val="Heading 1"/>
    <w:basedOn w:val="688"/>
    <w:next w:val="688"/>
    <w:link w:val="71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0">
    <w:name w:val="Heading 2"/>
    <w:basedOn w:val="688"/>
    <w:next w:val="688"/>
    <w:link w:val="71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1">
    <w:name w:val="Heading 3"/>
    <w:basedOn w:val="688"/>
    <w:next w:val="688"/>
    <w:link w:val="72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2">
    <w:name w:val="Heading 4"/>
    <w:basedOn w:val="688"/>
    <w:next w:val="688"/>
    <w:link w:val="72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688"/>
    <w:next w:val="688"/>
    <w:link w:val="72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688"/>
    <w:next w:val="688"/>
    <w:link w:val="72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5">
    <w:name w:val="Heading 7"/>
    <w:basedOn w:val="688"/>
    <w:next w:val="688"/>
    <w:link w:val="72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6">
    <w:name w:val="Heading 8"/>
    <w:basedOn w:val="688"/>
    <w:next w:val="688"/>
    <w:link w:val="72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7">
    <w:name w:val="Heading 9"/>
    <w:basedOn w:val="688"/>
    <w:next w:val="688"/>
    <w:link w:val="72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character" w:styleId="701" w:customStyle="1">
    <w:name w:val="Heading 1 Char"/>
    <w:basedOn w:val="698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Heading 2 Char"/>
    <w:basedOn w:val="698"/>
    <w:uiPriority w:val="9"/>
    <w:rPr>
      <w:rFonts w:ascii="Arial" w:hAnsi="Arial" w:eastAsia="Arial" w:cs="Arial"/>
      <w:sz w:val="34"/>
    </w:rPr>
  </w:style>
  <w:style w:type="character" w:styleId="703" w:customStyle="1">
    <w:name w:val="Heading 3 Char"/>
    <w:basedOn w:val="698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Heading 4 Char"/>
    <w:basedOn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5 Char"/>
    <w:basedOn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Heading 6 Char"/>
    <w:basedOn w:val="698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Heading 7 Char"/>
    <w:basedOn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8 Char"/>
    <w:basedOn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9 Char"/>
    <w:basedOn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Title Char"/>
    <w:basedOn w:val="698"/>
    <w:uiPriority w:val="10"/>
    <w:rPr>
      <w:sz w:val="48"/>
      <w:szCs w:val="48"/>
    </w:rPr>
  </w:style>
  <w:style w:type="character" w:styleId="711" w:customStyle="1">
    <w:name w:val="Subtitle Char"/>
    <w:basedOn w:val="698"/>
    <w:uiPriority w:val="11"/>
    <w:rPr>
      <w:sz w:val="24"/>
      <w:szCs w:val="24"/>
    </w:rPr>
  </w:style>
  <w:style w:type="character" w:styleId="712" w:customStyle="1">
    <w:name w:val="Quote Char"/>
    <w:uiPriority w:val="29"/>
    <w:rPr>
      <w:i/>
    </w:rPr>
  </w:style>
  <w:style w:type="character" w:styleId="713" w:customStyle="1">
    <w:name w:val="Intense Quote Char"/>
    <w:uiPriority w:val="30"/>
    <w:rPr>
      <w:i/>
    </w:rPr>
  </w:style>
  <w:style w:type="character" w:styleId="714" w:customStyle="1">
    <w:name w:val="Header Char"/>
    <w:basedOn w:val="698"/>
    <w:uiPriority w:val="99"/>
  </w:style>
  <w:style w:type="character" w:styleId="715" w:customStyle="1">
    <w:name w:val="Caption Char"/>
    <w:uiPriority w:val="99"/>
  </w:style>
  <w:style w:type="character" w:styleId="716" w:customStyle="1">
    <w:name w:val="Footnote Text Char"/>
    <w:uiPriority w:val="99"/>
    <w:rPr>
      <w:sz w:val="18"/>
    </w:rPr>
  </w:style>
  <w:style w:type="character" w:styleId="717" w:customStyle="1">
    <w:name w:val="Endnote Text Char"/>
    <w:uiPriority w:val="99"/>
    <w:rPr>
      <w:sz w:val="20"/>
    </w:rPr>
  </w:style>
  <w:style w:type="character" w:styleId="718" w:customStyle="1">
    <w:name w:val="Заголовок 1 Знак"/>
    <w:link w:val="689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Заголовок 2 Знак"/>
    <w:link w:val="690"/>
    <w:uiPriority w:val="9"/>
    <w:rPr>
      <w:rFonts w:ascii="Arial" w:hAnsi="Arial" w:eastAsia="Arial" w:cs="Arial"/>
      <w:sz w:val="34"/>
    </w:rPr>
  </w:style>
  <w:style w:type="character" w:styleId="720" w:customStyle="1">
    <w:name w:val="Заголовок 3 Знак"/>
    <w:link w:val="691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Заголовок 4 Знак"/>
    <w:link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Заголовок 5 Знак"/>
    <w:link w:val="693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Заголовок 6 Знак"/>
    <w:link w:val="694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Заголовок 7 Знак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Заголовок 8 Знак"/>
    <w:link w:val="696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Заголовок 9 Знак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Title"/>
    <w:basedOn w:val="688"/>
    <w:next w:val="688"/>
    <w:link w:val="728"/>
    <w:uiPriority w:val="10"/>
    <w:qFormat/>
    <w:pPr>
      <w:contextualSpacing/>
      <w:spacing w:before="300"/>
    </w:pPr>
    <w:rPr>
      <w:sz w:val="48"/>
      <w:szCs w:val="48"/>
    </w:rPr>
  </w:style>
  <w:style w:type="character" w:styleId="728" w:customStyle="1">
    <w:name w:val="Название Знак"/>
    <w:link w:val="727"/>
    <w:uiPriority w:val="10"/>
    <w:rPr>
      <w:sz w:val="48"/>
      <w:szCs w:val="48"/>
    </w:rPr>
  </w:style>
  <w:style w:type="paragraph" w:styleId="729">
    <w:name w:val="Subtitle"/>
    <w:basedOn w:val="688"/>
    <w:next w:val="688"/>
    <w:link w:val="730"/>
    <w:uiPriority w:val="11"/>
    <w:qFormat/>
    <w:pPr>
      <w:spacing w:before="200"/>
    </w:pPr>
    <w:rPr>
      <w:sz w:val="24"/>
      <w:szCs w:val="24"/>
    </w:rPr>
  </w:style>
  <w:style w:type="character" w:styleId="730" w:customStyle="1">
    <w:name w:val="Подзаголовок Знак"/>
    <w:link w:val="729"/>
    <w:uiPriority w:val="11"/>
    <w:rPr>
      <w:sz w:val="24"/>
      <w:szCs w:val="24"/>
    </w:rPr>
  </w:style>
  <w:style w:type="paragraph" w:styleId="731">
    <w:name w:val="Quote"/>
    <w:basedOn w:val="688"/>
    <w:next w:val="688"/>
    <w:link w:val="732"/>
    <w:uiPriority w:val="29"/>
    <w:qFormat/>
    <w:pPr>
      <w:ind w:left="720" w:right="720"/>
    </w:pPr>
    <w:rPr>
      <w:i/>
    </w:rPr>
  </w:style>
  <w:style w:type="character" w:styleId="732" w:customStyle="1">
    <w:name w:val="Цитата 2 Знак"/>
    <w:link w:val="731"/>
    <w:uiPriority w:val="29"/>
    <w:rPr>
      <w:i/>
    </w:rPr>
  </w:style>
  <w:style w:type="paragraph" w:styleId="733">
    <w:name w:val="Intense Quote"/>
    <w:basedOn w:val="688"/>
    <w:next w:val="688"/>
    <w:link w:val="73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 w:customStyle="1">
    <w:name w:val="Выделенная цитата Знак"/>
    <w:link w:val="733"/>
    <w:uiPriority w:val="30"/>
    <w:rPr>
      <w:i/>
    </w:rPr>
  </w:style>
  <w:style w:type="paragraph" w:styleId="735">
    <w:name w:val="Header"/>
    <w:basedOn w:val="688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 w:customStyle="1">
    <w:name w:val="Верхний колонтитул Знак"/>
    <w:link w:val="735"/>
    <w:uiPriority w:val="99"/>
  </w:style>
  <w:style w:type="paragraph" w:styleId="737">
    <w:name w:val="Footer"/>
    <w:basedOn w:val="688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 w:customStyle="1">
    <w:name w:val="Footer Char"/>
    <w:uiPriority w:val="99"/>
  </w:style>
  <w:style w:type="paragraph" w:styleId="739">
    <w:name w:val="Caption"/>
    <w:basedOn w:val="688"/>
    <w:next w:val="68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40" w:customStyle="1">
    <w:name w:val="Нижний колонтитул Знак"/>
    <w:link w:val="737"/>
    <w:uiPriority w:val="99"/>
  </w:style>
  <w:style w:type="table" w:styleId="741">
    <w:name w:val="Table Grid"/>
    <w:basedOn w:val="69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2" w:customStyle="1">
    <w:name w:val="Table Grid Light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3">
    <w:name w:val="Plain Table 1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69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1" w:customStyle="1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2" w:customStyle="1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3" w:customStyle="1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4" w:customStyle="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5" w:customStyle="1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6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5" w:customStyle="1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6" w:customStyle="1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7" w:customStyle="1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8" w:customStyle="1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9" w:customStyle="1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0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4" w:customStyle="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5" w:customStyle="1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6" w:customStyle="1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7" w:customStyle="1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8" w:customStyle="1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9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8" w:customStyle="1">
    <w:name w:val="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9" w:customStyle="1">
    <w:name w:val="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0" w:customStyle="1">
    <w:name w:val="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1" w:customStyle="1">
    <w:name w:val="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2" w:customStyle="1">
    <w:name w:val="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3" w:customStyle="1">
    <w:name w:val="Bordered &amp; 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5" w:customStyle="1">
    <w:name w:val="Bordered &amp; 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6" w:customStyle="1">
    <w:name w:val="Bordered &amp; 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7" w:customStyle="1">
    <w:name w:val="Bordered &amp; 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8" w:customStyle="1">
    <w:name w:val="Bordered &amp; 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9" w:customStyle="1">
    <w:name w:val="Bordered &amp; 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0" w:customStyle="1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2" w:customStyle="1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3" w:customStyle="1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4" w:customStyle="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5" w:customStyle="1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6" w:customStyle="1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563c1" w:themeColor="hyperlink"/>
      <w:u w:val="single"/>
    </w:rPr>
  </w:style>
  <w:style w:type="paragraph" w:styleId="868">
    <w:name w:val="footnote text"/>
    <w:basedOn w:val="688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 w:customStyle="1">
    <w:name w:val="Текст сноски Знак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688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 w:customStyle="1">
    <w:name w:val="Текст концевой сноски Знак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688"/>
    <w:next w:val="688"/>
    <w:uiPriority w:val="39"/>
    <w:unhideWhenUsed/>
    <w:pPr>
      <w:spacing w:after="57"/>
    </w:pPr>
  </w:style>
  <w:style w:type="paragraph" w:styleId="875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76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77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78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79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80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81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82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688"/>
    <w:next w:val="688"/>
    <w:uiPriority w:val="99"/>
    <w:unhideWhenUsed/>
    <w:pPr>
      <w:spacing w:after="0"/>
    </w:pPr>
  </w:style>
  <w:style w:type="paragraph" w:styleId="885">
    <w:name w:val="No Spacing"/>
    <w:basedOn w:val="688"/>
    <w:uiPriority w:val="1"/>
    <w:qFormat/>
    <w:pPr>
      <w:spacing w:after="0" w:line="240" w:lineRule="auto"/>
    </w:pPr>
  </w:style>
  <w:style w:type="paragraph" w:styleId="886">
    <w:name w:val="List Paragraph"/>
    <w:basedOn w:val="688"/>
    <w:uiPriority w:val="34"/>
    <w:qFormat/>
    <w:pPr>
      <w:contextualSpacing/>
      <w:ind w:left="720"/>
    </w:pPr>
  </w:style>
  <w:style w:type="character" w:styleId="887" w:customStyle="1">
    <w:name w:val="Знак сноски;Знак сноски 1;Знак сноски-FN;Ciae niinee-FN;SUPERS;Referencia nota al pie;fr;Used by Word for Help footnote symbols;16 Point;Superscript 6 Point;BVI fnr;Ciae niinee 1;Footnote Reference Number;ftref;анкета сноска;Ссылка на сноску 45"/>
    <w:uiPriority w:val="99"/>
    <w:unhideWhenUsed/>
    <w:rPr>
      <w:rFonts w:ascii="Times New Roman" w:hAnsi="Times New Roman" w:cs="Times New Roman"/>
      <w:vertAlign w:val="superscript"/>
    </w:rPr>
  </w:style>
  <w:style w:type="paragraph" w:styleId="888" w:customStyle="1">
    <w:name w:val="Текст сноски;Table_Footnote_last;Текст сноски Знак Знак Char;Texto de nota al pie Char;Texto de nota al pie;Текст сноски Знак Знак Char Char;Schriftart: 9 pt;Schriftart: 10 pt;Schriftart: 8 pt;single space;Текст сноски Знак1 Знак;fn;ft;footnote text;f"/>
    <w:uiPriority w:val="99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9" w:customStyle="1">
    <w:name w:val="Основной текст1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32"/>
      <w:szCs w:val="24"/>
      <w:lang w:eastAsia="ru-RU"/>
    </w:rPr>
  </w:style>
  <w:style w:type="paragraph" w:styleId="890" w:customStyle="1">
    <w:name w:val="Основной текст 31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styleId="891" w:customStyle="1">
    <w:name w:val="Standard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892" w:customStyle="1">
    <w:name w:val="Основной текст 21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b/>
      <w:bCs/>
      <w:sz w:val="26"/>
      <w:szCs w:val="24"/>
      <w:lang w:eastAsia="ru-RU"/>
    </w:rPr>
  </w:style>
  <w:style w:type="paragraph" w:styleId="893" w:customStyle="1">
    <w:name w:val="Абзац списка1"/>
    <w:uiPriority w:val="34"/>
    <w:qFormat/>
    <w:pPr>
      <w:contextualSpacing/>
      <w:ind w:left="720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4" w:customStyle="1">
    <w:name w:val="_BODY"/>
    <w:pPr>
      <w:jc w:val="both"/>
      <w:spacing w:after="0" w:line="288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6"/>
      <w:szCs w:val="20"/>
      <w:lang w:eastAsia="ru-RU"/>
    </w:rPr>
  </w:style>
  <w:style w:type="paragraph" w:styleId="895" w:customStyle="1">
    <w:name w:val="Основной текст с отступом1"/>
    <w:basedOn w:val="696"/>
    <w:pPr>
      <w:ind w:firstLine="708"/>
      <w:jc w:val="both"/>
      <w:keepLines w:val="0"/>
      <w:keepNext w:val="0"/>
      <w:spacing w:before="0"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i w:val="0"/>
      <w:iCs w:val="0"/>
      <w:sz w:val="28"/>
      <w:szCs w:val="24"/>
      <w:lang w:eastAsia="ru-RU"/>
    </w:rPr>
  </w:style>
  <w:style w:type="character" w:styleId="896" w:customStyle="1">
    <w:name w:val="2235"/>
  </w:style>
  <w:style w:type="paragraph" w:styleId="897">
    <w:name w:val="Balloon Text"/>
    <w:basedOn w:val="688"/>
    <w:link w:val="89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8" w:customStyle="1">
    <w:name w:val="Текст выноски Знак"/>
    <w:basedOn w:val="698"/>
    <w:link w:val="897"/>
    <w:uiPriority w:val="99"/>
    <w:semiHidden/>
    <w:rPr>
      <w:rFonts w:ascii="Segoe UI" w:hAnsi="Segoe UI" w:cs="Segoe UI"/>
      <w:sz w:val="18"/>
      <w:szCs w:val="18"/>
    </w:rPr>
  </w:style>
  <w:style w:type="character" w:styleId="899">
    <w:name w:val="annotation reference"/>
    <w:basedOn w:val="698"/>
    <w:uiPriority w:val="99"/>
    <w:semiHidden/>
    <w:unhideWhenUsed/>
    <w:rPr>
      <w:sz w:val="16"/>
      <w:szCs w:val="16"/>
    </w:rPr>
  </w:style>
  <w:style w:type="paragraph" w:styleId="900">
    <w:name w:val="annotation text"/>
    <w:basedOn w:val="688"/>
    <w:link w:val="901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01" w:customStyle="1">
    <w:name w:val="Текст примечания Знак"/>
    <w:basedOn w:val="698"/>
    <w:link w:val="900"/>
    <w:uiPriority w:val="99"/>
    <w:semiHidden/>
    <w:rPr>
      <w:sz w:val="20"/>
      <w:szCs w:val="20"/>
    </w:rPr>
  </w:style>
  <w:style w:type="paragraph" w:styleId="902">
    <w:name w:val="annotation subject"/>
    <w:basedOn w:val="900"/>
    <w:next w:val="900"/>
    <w:link w:val="903"/>
    <w:uiPriority w:val="99"/>
    <w:semiHidden/>
    <w:unhideWhenUsed/>
    <w:rPr>
      <w:b/>
      <w:bCs/>
    </w:rPr>
  </w:style>
  <w:style w:type="character" w:styleId="903" w:customStyle="1">
    <w:name w:val="Тема примечания Знак"/>
    <w:basedOn w:val="901"/>
    <w:link w:val="902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omments" Target="comments.xml" /><Relationship Id="rId12" Type="http://schemas.microsoft.com/office/2011/relationships/commentsExtended" Target="commentsExtended.xml" /><Relationship Id="rId13" Type="http://schemas.microsoft.com/office/2018/08/relationships/commentsExtensible" Target="commentsExtensible.xml" /><Relationship Id="rId14" Type="http://schemas.microsoft.com/office/2016/09/relationships/commentsIds" Target="commentsId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Звягина Ольга Александровна</dc:creator>
  <cp:revision>5</cp:revision>
  <dcterms:created xsi:type="dcterms:W3CDTF">2024-10-09T07:24:00Z</dcterms:created>
  <dcterms:modified xsi:type="dcterms:W3CDTF">2024-10-10T06:53:07Z</dcterms:modified>
</cp:coreProperties>
</file>